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Aviso legal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400390625" w:line="240" w:lineRule="auto"/>
        <w:ind w:left="6.119995117187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Sobre las campañas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091796875" w:line="240" w:lineRule="auto"/>
        <w:ind w:left="8.8400268554687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Sobre la comisión preferencial del POS Openpay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400390625" w:line="240" w:lineRule="auto"/>
        <w:ind w:left="12.4099731445312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Requisitos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770751953125" w:line="268.20322036743164" w:lineRule="auto"/>
        <w:ind w:left="374.7900390625" w:right="274.3768310546875"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Ser cliente BBVA Persona Natural con Negocio o Persona Jurídica de la Banca Negocios. ● Afiliarse por primera vez a la solución de cobros POS Openpay y asociarlo a una cuenta BBVA en moneda soles durante la vigencia de la campaña.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333984375" w:line="268.20322036743164" w:lineRule="auto"/>
        <w:ind w:left="731.2199401855469" w:right="19.7412109375" w:hanging="356.4299011230469"/>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Mantener el RUC activo y que su actividad económica principal registrada ante SUNAT coincida con el giro de</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negocio afiliado al POS Openpay Smart durante la vigencia de la campaña.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333984375" w:line="268.20322036743164" w:lineRule="auto"/>
        <w:ind w:left="731.2199401855469" w:right="431.9683837890625" w:hanging="356.4299011230469"/>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 Los clientes con RUC 10, RUC 15 y RUC 17 deberán acreditar una antigüedad mínima de 3 meses en el negocio, en el momento de la afiliación, según la información registrada en SUNAT.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886474609375" w:line="240" w:lineRule="auto"/>
        <w:ind w:left="3.569946289062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Términos y condiciones: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400390625" w:line="240" w:lineRule="auto"/>
        <w:ind w:left="0.6799316406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Vigencia de la campaña: Del 01 al 30 de abril del 2026.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091796875" w:line="201.60321235656738" w:lineRule="auto"/>
        <w:ind w:left="6.1199951171875" w:right="4.058837890625" w:firstLine="2.3800659179687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Campaña exclusiva para clientes de la Banca Negocios BBVA que durante la vigencia de la campaña se afilien por primera vez (RUC nuevo) al POS Openpay, obtendrá una comisión preferencial, la cual se le detalla al momento de la</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afiliación, por los 3 primeros meses, siempre que pertenezca y se afilie en el rubro indicado. Luego de la aplicación de</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la comisión por los 3 meses, a partir del 01 de julio del 2026, se aplicará comisión según contrato vigente del cliente.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73974609375" w:line="201.60254001617432" w:lineRule="auto"/>
        <w:ind w:left="5.780029296875" w:right="22.77099609375" w:firstLine="7.31002807617187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Para el POS Openpay agregador: la comisión especial sólo aplica para los cobros con tarjetas de débito y crédito local de las marcas Visa, Mastercard en moneda soles. Todas las tarifas cobran IGV por transacción de venta exitosa. En el caso de pagos con QR a través de billeteras considerar la comisión de tarjeta de débito.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73974609375" w:line="201.602783203125" w:lineRule="auto"/>
        <w:ind w:left="5.780029296875" w:right="5.440673828125" w:firstLine="7.31002807617187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Para el POS Openpay adquirente: la comisión especial sólo aplica para los cobros con tarjetas débito y crédito local de</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las marcas Visa y Mastercard donde no se cobra IGV. Para los cobros con QR PLIN BBVA y YAPE considerar la</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comisión de tarjeta de débito. Sobre transacciones que se realicen con empresas emisoras de tarjetas de crédito, débito y prepago que no pertenecen al sector financiero (Emisores no financieros) aplican IGV.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6787109375" w:line="201.60254001617432" w:lineRule="auto"/>
        <w:ind w:left="5.95001220703125" w:right="9.473876953125" w:firstLine="7.48001098632812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En el caso del producto POS Openpay agregador, BBVA actúa como intermediario por lo que no tendrá</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responsabilidad legal por cualquier daño o perjuicio que pudiera derivarse de la idoneidad de los servicios o productos</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que ofrece Openpay Peru S.A.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6787109375" w:line="201.60322666168213" w:lineRule="auto"/>
        <w:ind w:left="11.219940185546875" w:right="14.10888671875" w:firstLine="1.8701171875"/>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Para más información, contáctanos en nuestra Banca por Teléfono al (01) 595-1200. Las tasas y tarifas de nuestros</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productos están disponibles en las oficinas del Banco y en bbva.pe.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19189453125" w:line="240" w:lineRule="auto"/>
        <w:ind w:left="8.84002685546875" w:right="0" w:firstLine="0"/>
        <w:jc w:val="left"/>
        <w:rPr>
          <w:b w:val="1"/>
          <w:bCs w:val="1"/>
          <w:color w:val="666666"/>
          <w:sz w:val="17"/>
          <w:szCs w:val="17"/>
          <w:highlight w:val="whit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Sobre la campaña de beneficios Combo Power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19189453125" w:line="240" w:lineRule="auto"/>
        <w:ind w:left="8.84002685546875" w:right="0" w:firstLine="0"/>
        <w:jc w:val="left"/>
        <w:rPr>
          <w:b w:val="1"/>
          <w:bCs w:val="1"/>
          <w:color w:val="666666"/>
          <w:sz w:val="17"/>
          <w:szCs w:val="17"/>
          <w:highlight w:val="white"/>
        </w:rPr>
      </w:pPr>
      <w:r w:rsidDel="00000000" w:rsidR="00000000" w:rsidRPr="00000000">
        <w:rPr>
          <w:rtl w:val="0"/>
        </w:rPr>
      </w:r>
    </w:p>
    <w:p w:rsidR="00000000" w:rsidDel="00000000" w:rsidP="00000000" w:rsidRDefault="00000000" w:rsidRPr="00000000" w14:paraId="00000011">
      <w:pPr>
        <w:rPr>
          <w:b w:val="1"/>
          <w:bCs w:val="1"/>
          <w:color w:val="666666"/>
          <w:sz w:val="17"/>
          <w:szCs w:val="17"/>
          <w:highlight w:val="white"/>
        </w:rPr>
      </w:pPr>
      <w:r w:rsidDel="00000000" w:rsidR="00000000" w:rsidRPr="00000000">
        <w:rPr>
          <w:b w:val="1"/>
          <w:bCs w:val="1"/>
          <w:color w:val="666666"/>
          <w:sz w:val="17"/>
          <w:szCs w:val="17"/>
          <w:highlight w:val="white"/>
          <w:rtl w:val="0"/>
        </w:rPr>
        <w:t xml:space="preserve">Requisitos</w:t>
      </w:r>
    </w:p>
    <w:p w:rsidR="00000000" w:rsidDel="00000000" w:rsidP="00000000" w:rsidRDefault="00000000" w:rsidRPr="00000000" w14:paraId="00000012">
      <w:pPr>
        <w:numPr>
          <w:ilvl w:val="0"/>
          <w:numId w:val="2"/>
        </w:numPr>
        <w:ind w:left="720" w:hanging="360"/>
        <w:jc w:val="both"/>
        <w:rPr>
          <w:color w:val="666666"/>
          <w:sz w:val="17"/>
          <w:szCs w:val="17"/>
          <w:highlight w:val="white"/>
        </w:rPr>
      </w:pPr>
      <w:r w:rsidDel="00000000" w:rsidR="00000000" w:rsidRPr="00000000">
        <w:rPr>
          <w:color w:val="666666"/>
          <w:sz w:val="17"/>
          <w:szCs w:val="17"/>
          <w:highlight w:val="white"/>
          <w:rtl w:val="0"/>
        </w:rPr>
        <w:t xml:space="preserve">Abrir una cuenta PJ BBVA Pyme en soles o dólares durante la vigencia de la campaña, en una oficina BBVA o por el canal digital </w:t>
      </w:r>
      <w:hyperlink r:id="rId6">
        <w:r w:rsidDel="00000000" w:rsidR="00000000" w:rsidRPr="00000000">
          <w:rPr>
            <w:color w:val="666666"/>
            <w:sz w:val="17"/>
            <w:szCs w:val="17"/>
            <w:highlight w:val="white"/>
            <w:rtl w:val="0"/>
          </w:rPr>
          <w:t xml:space="preserve">www.bbva.pe</w:t>
        </w:r>
      </w:hyperlink>
      <w:r w:rsidDel="00000000" w:rsidR="00000000" w:rsidRPr="00000000">
        <w:rPr>
          <w:rtl w:val="0"/>
        </w:rPr>
      </w:r>
    </w:p>
    <w:p w:rsidR="00000000" w:rsidDel="00000000" w:rsidP="00000000" w:rsidRDefault="00000000" w:rsidRPr="00000000" w14:paraId="00000013">
      <w:pPr>
        <w:numPr>
          <w:ilvl w:val="0"/>
          <w:numId w:val="2"/>
        </w:numPr>
        <w:ind w:left="720" w:hanging="360"/>
        <w:jc w:val="both"/>
        <w:rPr>
          <w:color w:val="666666"/>
          <w:sz w:val="17"/>
          <w:szCs w:val="17"/>
          <w:highlight w:val="white"/>
        </w:rPr>
      </w:pPr>
      <w:r w:rsidDel="00000000" w:rsidR="00000000" w:rsidRPr="00000000">
        <w:rPr>
          <w:color w:val="666666"/>
          <w:sz w:val="17"/>
          <w:szCs w:val="17"/>
          <w:highlight w:val="white"/>
          <w:rtl w:val="0"/>
        </w:rPr>
        <w:t xml:space="preserve">Afiliar un POS Openpay o Desembolsar un préstamo Pyme asociado a la cuenta PJ abierta.</w:t>
      </w:r>
    </w:p>
    <w:p w:rsidR="00000000" w:rsidDel="00000000" w:rsidP="00000000" w:rsidRDefault="00000000" w:rsidRPr="00000000" w14:paraId="00000014">
      <w:pPr>
        <w:numPr>
          <w:ilvl w:val="0"/>
          <w:numId w:val="2"/>
        </w:numPr>
        <w:ind w:left="720" w:hanging="360"/>
        <w:jc w:val="both"/>
        <w:rPr>
          <w:color w:val="666666"/>
          <w:sz w:val="17"/>
          <w:szCs w:val="17"/>
          <w:highlight w:val="white"/>
        </w:rPr>
      </w:pPr>
      <w:r w:rsidDel="00000000" w:rsidR="00000000" w:rsidRPr="00000000">
        <w:rPr>
          <w:color w:val="666666"/>
          <w:sz w:val="17"/>
          <w:szCs w:val="17"/>
          <w:highlight w:val="white"/>
          <w:rtl w:val="0"/>
        </w:rPr>
        <w:t xml:space="preserve">Inscribirse a la campaña con un ejecutivo de Negocio BBVA </w:t>
      </w:r>
    </w:p>
    <w:p w:rsidR="00000000" w:rsidDel="00000000" w:rsidP="00000000" w:rsidRDefault="00000000" w:rsidRPr="00000000" w14:paraId="00000015">
      <w:pPr>
        <w:jc w:val="both"/>
        <w:rPr>
          <w:color w:val="666666"/>
          <w:sz w:val="17"/>
          <w:szCs w:val="17"/>
          <w:highlight w:val="white"/>
        </w:rPr>
      </w:pPr>
      <w:r w:rsidDel="00000000" w:rsidR="00000000" w:rsidRPr="00000000">
        <w:rPr>
          <w:color w:val="666666"/>
          <w:sz w:val="17"/>
          <w:szCs w:val="17"/>
          <w:highlight w:val="white"/>
          <w:rtl w:val="0"/>
        </w:rPr>
        <w:t xml:space="preserve">Restricciones</w:t>
      </w:r>
    </w:p>
    <w:p w:rsidR="00000000" w:rsidDel="00000000" w:rsidP="00000000" w:rsidRDefault="00000000" w:rsidRPr="00000000" w14:paraId="00000016">
      <w:pPr>
        <w:jc w:val="both"/>
        <w:rPr>
          <w:color w:val="666666"/>
          <w:sz w:val="17"/>
          <w:szCs w:val="17"/>
          <w:highlight w:val="white"/>
        </w:rPr>
      </w:pPr>
      <w:r w:rsidDel="00000000" w:rsidR="00000000" w:rsidRPr="00000000">
        <w:rPr>
          <w:color w:val="666666"/>
          <w:sz w:val="17"/>
          <w:szCs w:val="17"/>
          <w:highlight w:val="white"/>
          <w:rtl w:val="0"/>
        </w:rPr>
        <w:t xml:space="preserve">No aplican aquellos que tengan una cuenta de ahorro o corriente PJ del BBVA al corte del 28 de febrero (sea cuenta activa o inactiva).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60254001617432" w:lineRule="auto"/>
        <w:ind w:left="6.1199951171875" w:right="16.690673828125" w:firstLine="6.800079345703125"/>
        <w:jc w:val="left"/>
        <w:rPr>
          <w:b w:val="1"/>
          <w:bCs w:val="1"/>
          <w:color w:val="666666"/>
          <w:sz w:val="17"/>
          <w:szCs w:val="17"/>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831298828125" w:line="240" w:lineRule="auto"/>
        <w:ind w:left="3.569946289062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Términos y condiciones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0887451171875" w:line="240" w:lineRule="auto"/>
        <w:ind w:left="0.6799316406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Vigencia: Del 01 al 30 de abril de 2026.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09521484375" w:line="240" w:lineRule="auto"/>
        <w:ind w:left="12.40997314453125" w:right="0" w:firstLine="0"/>
        <w:jc w:val="left"/>
        <w:rPr>
          <w:rFonts w:ascii="Arial" w:cs="Arial" w:eastAsia="Arial" w:hAnsi="Arial"/>
          <w:b w:val="1"/>
          <w:bCs w:val="1"/>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Beneficios:</w:t>
      </w:r>
      <w:r w:rsidDel="00000000" w:rsidR="00000000" w:rsidRPr="00000000">
        <w:rPr>
          <w:rFonts w:ascii="Arial" w:cs="Arial" w:eastAsia="Arial" w:hAnsi="Arial"/>
          <w:b w:val="1"/>
          <w:bCs w:val="1"/>
          <w:i w:val="0"/>
          <w:iCs w:val="0"/>
          <w:smallCaps w:val="0"/>
          <w:strike w:val="0"/>
          <w:color w:val="666666"/>
          <w:sz w:val="17"/>
          <w:szCs w:val="17"/>
          <w:u w:val="none"/>
          <w:shd w:fill="auto" w:val="clear"/>
          <w:vertAlign w:val="baseline"/>
          <w:rtl w:val="0"/>
        </w:rPr>
        <w:t xml:space="preserve"> </w:t>
      </w:r>
    </w:p>
    <w:p w:rsidR="00000000" w:rsidDel="00000000" w:rsidP="00000000" w:rsidRDefault="00000000" w:rsidRPr="00000000" w14:paraId="0000001B">
      <w:pPr>
        <w:widowControl w:val="0"/>
        <w:spacing w:after="240" w:before="240" w:line="276" w:lineRule="auto"/>
        <w:jc w:val="both"/>
        <w:rPr>
          <w:color w:val="666666"/>
          <w:sz w:val="16"/>
          <w:szCs w:val="16"/>
        </w:rPr>
      </w:pPr>
      <w:r w:rsidDel="00000000" w:rsidR="00000000" w:rsidRPr="00000000">
        <w:rPr>
          <w:b w:val="1"/>
          <w:bCs w:val="1"/>
          <w:color w:val="666666"/>
          <w:sz w:val="16"/>
          <w:szCs w:val="16"/>
          <w:rtl w:val="0"/>
        </w:rPr>
        <w:t xml:space="preserve">Para cuentas en Soles o Dólares:</w:t>
      </w:r>
      <w:r w:rsidDel="00000000" w:rsidR="00000000" w:rsidRPr="00000000">
        <w:rPr>
          <w:rtl w:val="0"/>
        </w:rPr>
      </w:r>
    </w:p>
    <w:p w:rsidR="00000000" w:rsidDel="00000000" w:rsidP="00000000" w:rsidRDefault="00000000" w:rsidRPr="00000000" w14:paraId="0000001C">
      <w:pPr>
        <w:widowControl w:val="0"/>
        <w:numPr>
          <w:ilvl w:val="0"/>
          <w:numId w:val="1"/>
        </w:numPr>
        <w:spacing w:line="276" w:lineRule="auto"/>
        <w:ind w:left="720" w:hanging="360"/>
        <w:jc w:val="both"/>
        <w:rPr>
          <w:color w:val="666666"/>
          <w:sz w:val="16"/>
          <w:szCs w:val="16"/>
        </w:rPr>
      </w:pPr>
      <w:r w:rsidDel="00000000" w:rsidR="00000000" w:rsidRPr="00000000">
        <w:rPr>
          <w:color w:val="666666"/>
          <w:sz w:val="16"/>
          <w:szCs w:val="16"/>
          <w:rtl w:val="0"/>
        </w:rPr>
        <w:t xml:space="preserve">12 meses sin cobro de la comisión de mantenimiento de cuenta.</w:t>
      </w:r>
    </w:p>
    <w:p w:rsidR="00000000" w:rsidDel="00000000" w:rsidP="00000000" w:rsidRDefault="00000000" w:rsidRPr="00000000" w14:paraId="0000001D">
      <w:pPr>
        <w:widowControl w:val="0"/>
        <w:numPr>
          <w:ilvl w:val="0"/>
          <w:numId w:val="1"/>
        </w:numPr>
        <w:spacing w:line="276" w:lineRule="auto"/>
        <w:ind w:left="720" w:hanging="360"/>
        <w:jc w:val="both"/>
        <w:rPr>
          <w:color w:val="666666"/>
          <w:sz w:val="16"/>
          <w:szCs w:val="16"/>
        </w:rPr>
      </w:pPr>
      <w:r w:rsidDel="00000000" w:rsidR="00000000" w:rsidRPr="00000000">
        <w:rPr>
          <w:color w:val="666666"/>
          <w:sz w:val="16"/>
          <w:szCs w:val="16"/>
          <w:rtl w:val="0"/>
        </w:rPr>
        <w:t xml:space="preserve">12 meses de exoneración de comisiones de todas las transferencias interbancarias a través de BBVA Empresas.</w:t>
      </w:r>
    </w:p>
    <w:p w:rsidR="00000000" w:rsidDel="00000000" w:rsidP="00000000" w:rsidRDefault="00000000" w:rsidRPr="00000000" w14:paraId="0000001E">
      <w:pPr>
        <w:widowControl w:val="0"/>
        <w:numPr>
          <w:ilvl w:val="0"/>
          <w:numId w:val="1"/>
        </w:numPr>
        <w:spacing w:line="276" w:lineRule="auto"/>
        <w:ind w:left="720" w:hanging="360"/>
        <w:jc w:val="both"/>
        <w:rPr>
          <w:color w:val="666666"/>
          <w:sz w:val="16"/>
          <w:szCs w:val="16"/>
        </w:rPr>
      </w:pPr>
      <w:r w:rsidDel="00000000" w:rsidR="00000000" w:rsidRPr="00000000">
        <w:rPr>
          <w:color w:val="666666"/>
          <w:sz w:val="16"/>
          <w:szCs w:val="16"/>
          <w:rtl w:val="0"/>
        </w:rPr>
        <w:t xml:space="preserve">12 meses de exoneración de todas las comisiones interplaza de transferencias ordinarias (por horarios).</w:t>
      </w:r>
    </w:p>
    <w:p w:rsidR="00000000" w:rsidDel="00000000" w:rsidP="00000000" w:rsidRDefault="00000000" w:rsidRPr="00000000" w14:paraId="0000001F">
      <w:pPr>
        <w:widowControl w:val="0"/>
        <w:numPr>
          <w:ilvl w:val="0"/>
          <w:numId w:val="1"/>
        </w:numPr>
        <w:spacing w:line="276" w:lineRule="auto"/>
        <w:ind w:left="720" w:hanging="360"/>
        <w:jc w:val="both"/>
        <w:rPr>
          <w:color w:val="666666"/>
          <w:sz w:val="16"/>
          <w:szCs w:val="16"/>
        </w:rPr>
      </w:pPr>
      <w:r w:rsidDel="00000000" w:rsidR="00000000" w:rsidRPr="00000000">
        <w:rPr>
          <w:color w:val="666666"/>
          <w:sz w:val="16"/>
          <w:szCs w:val="16"/>
          <w:rtl w:val="0"/>
        </w:rPr>
        <w:t xml:space="preserve">12 meses sin costo del servicio BBVA Empresas (versión Pyme).</w:t>
      </w:r>
    </w:p>
    <w:p w:rsidR="00000000" w:rsidDel="00000000" w:rsidP="00000000" w:rsidRDefault="00000000" w:rsidRPr="00000000" w14:paraId="00000020">
      <w:pPr>
        <w:widowControl w:val="0"/>
        <w:spacing w:after="240" w:before="240" w:line="276" w:lineRule="auto"/>
        <w:jc w:val="both"/>
        <w:rPr>
          <w:color w:val="666666"/>
          <w:sz w:val="16"/>
          <w:szCs w:val="16"/>
        </w:rPr>
      </w:pPr>
      <w:r w:rsidDel="00000000" w:rsidR="00000000" w:rsidRPr="00000000">
        <w:rPr>
          <w:color w:val="666666"/>
          <w:sz w:val="16"/>
          <w:szCs w:val="16"/>
          <w:rtl w:val="0"/>
        </w:rPr>
        <w:t xml:space="preserve">La activación de los beneficios se realizará según la fecha de inscripción a la campaña con el Ejecutivo BBVA:</w:t>
      </w:r>
    </w:p>
    <w:p w:rsidR="00000000" w:rsidDel="00000000" w:rsidP="00000000" w:rsidRDefault="00000000" w:rsidRPr="00000000" w14:paraId="00000021">
      <w:pPr>
        <w:widowControl w:val="0"/>
        <w:numPr>
          <w:ilvl w:val="0"/>
          <w:numId w:val="1"/>
        </w:numPr>
        <w:spacing w:before="240" w:line="276" w:lineRule="auto"/>
        <w:ind w:left="720" w:hanging="360"/>
        <w:jc w:val="both"/>
        <w:rPr>
          <w:color w:val="666666"/>
          <w:sz w:val="16"/>
          <w:szCs w:val="16"/>
        </w:rPr>
      </w:pPr>
      <w:r w:rsidDel="00000000" w:rsidR="00000000" w:rsidRPr="00000000">
        <w:rPr>
          <w:b w:val="1"/>
          <w:bCs w:val="1"/>
          <w:color w:val="666666"/>
          <w:sz w:val="16"/>
          <w:szCs w:val="16"/>
          <w:rtl w:val="0"/>
        </w:rPr>
        <w:t xml:space="preserve">Inscripciones hasta el 24 de marzo de 2026</w:t>
      </w:r>
      <w:r w:rsidDel="00000000" w:rsidR="00000000" w:rsidRPr="00000000">
        <w:rPr>
          <w:color w:val="666666"/>
          <w:sz w:val="16"/>
          <w:szCs w:val="16"/>
          <w:rtl w:val="0"/>
        </w:rPr>
        <w:t xml:space="preserve">: Beneficios activos a partir del 1 de abril de 2026, por 12 meses.</w:t>
      </w:r>
    </w:p>
    <w:p w:rsidR="00000000" w:rsidDel="00000000" w:rsidP="00000000" w:rsidRDefault="00000000" w:rsidRPr="00000000" w14:paraId="00000022">
      <w:pPr>
        <w:widowControl w:val="0"/>
        <w:numPr>
          <w:ilvl w:val="0"/>
          <w:numId w:val="1"/>
        </w:numPr>
        <w:spacing w:after="240" w:line="276" w:lineRule="auto"/>
        <w:ind w:left="720" w:hanging="360"/>
        <w:jc w:val="both"/>
        <w:rPr>
          <w:color w:val="666666"/>
          <w:sz w:val="16"/>
          <w:szCs w:val="16"/>
        </w:rPr>
      </w:pPr>
      <w:r w:rsidDel="00000000" w:rsidR="00000000" w:rsidRPr="00000000">
        <w:rPr>
          <w:b w:val="1"/>
          <w:bCs w:val="1"/>
          <w:color w:val="666666"/>
          <w:sz w:val="16"/>
          <w:szCs w:val="16"/>
          <w:rtl w:val="0"/>
        </w:rPr>
        <w:t xml:space="preserve">Inscripciones entre el 25 y el 31 de marzo de 2026:</w:t>
      </w:r>
      <w:r w:rsidDel="00000000" w:rsidR="00000000" w:rsidRPr="00000000">
        <w:rPr>
          <w:color w:val="666666"/>
          <w:sz w:val="16"/>
          <w:szCs w:val="16"/>
          <w:rtl w:val="0"/>
        </w:rPr>
        <w:t xml:space="preserve"> Beneficios activos a partir del 1 de mayo de 2026, por 12 meses.</w:t>
      </w:r>
    </w:p>
    <w:p w:rsidR="00000000" w:rsidDel="00000000" w:rsidP="00000000" w:rsidRDefault="00000000" w:rsidRPr="00000000" w14:paraId="00000023">
      <w:pPr>
        <w:widowControl w:val="0"/>
        <w:spacing w:after="240" w:before="240" w:line="276" w:lineRule="auto"/>
        <w:jc w:val="both"/>
        <w:rPr>
          <w:color w:val="666666"/>
          <w:sz w:val="16"/>
          <w:szCs w:val="16"/>
        </w:rPr>
      </w:pPr>
      <w:r w:rsidDel="00000000" w:rsidR="00000000" w:rsidRPr="00000000">
        <w:rPr>
          <w:color w:val="666666"/>
          <w:sz w:val="16"/>
          <w:szCs w:val="16"/>
          <w:rtl w:val="0"/>
        </w:rPr>
        <w:t xml:space="preserve">Al término de la vigencia del beneficio, aplicarán las comisiones establecidas en el tarifario vigente según Cartilla de Información de la Cuenta contratada.</w:t>
      </w:r>
    </w:p>
    <w:p w:rsidR="00000000" w:rsidDel="00000000" w:rsidP="00000000" w:rsidRDefault="00000000" w:rsidRPr="00000000" w14:paraId="00000024">
      <w:pPr>
        <w:widowControl w:val="0"/>
        <w:spacing w:after="240" w:before="240" w:line="276" w:lineRule="auto"/>
        <w:jc w:val="both"/>
        <w:rPr>
          <w:color w:val="666666"/>
          <w:sz w:val="17"/>
          <w:szCs w:val="17"/>
        </w:rPr>
      </w:pPr>
      <w:r w:rsidDel="00000000" w:rsidR="00000000" w:rsidRPr="00000000">
        <w:rPr>
          <w:color w:val="666666"/>
          <w:sz w:val="17"/>
          <w:szCs w:val="17"/>
          <w:rtl w:val="0"/>
        </w:rPr>
        <w:t xml:space="preserve">La cancelación o cierre de la cuenta antes de cumplirse los plazos de  6 o 12 meses (según corresponda a cada beneficio) resultará en la pérdida inmediata de las exoneraciones pendientes asociadas a esta campaña.</w:t>
      </w:r>
    </w:p>
    <w:p w:rsidR="00000000" w:rsidDel="00000000" w:rsidP="00000000" w:rsidRDefault="00000000" w:rsidRPr="00000000" w14:paraId="00000025">
      <w:pPr>
        <w:widowControl w:val="0"/>
        <w:spacing w:after="240" w:before="240" w:line="276" w:lineRule="auto"/>
        <w:jc w:val="both"/>
        <w:rPr>
          <w:color w:val="666666"/>
          <w:sz w:val="17"/>
          <w:szCs w:val="17"/>
        </w:rPr>
      </w:pPr>
      <w:r w:rsidDel="00000000" w:rsidR="00000000" w:rsidRPr="00000000">
        <w:rPr>
          <w:color w:val="666666"/>
          <w:sz w:val="17"/>
          <w:szCs w:val="17"/>
          <w:rtl w:val="0"/>
        </w:rPr>
        <w:t xml:space="preserve">BBVA se reserva el derecho de anular la participación o deshabilitar los beneficios de cualquier cliente en caso de detectar indicios de fraude, manipulación o incumplimiento de los Términos y Condiciones. El Banco podrá aplicar las medidas necesarias para garantizar la integridad de la campaña.</w:t>
      </w:r>
    </w:p>
    <w:p w:rsidR="00000000" w:rsidDel="00000000" w:rsidP="00000000" w:rsidRDefault="00000000" w:rsidRPr="00000000" w14:paraId="00000026">
      <w:pPr>
        <w:spacing w:line="240" w:lineRule="auto"/>
        <w:jc w:val="both"/>
        <w:rPr>
          <w:b w:val="1"/>
          <w:bCs w:val="1"/>
          <w:color w:val="666666"/>
          <w:sz w:val="17"/>
          <w:szCs w:val="17"/>
          <w:highlight w:val="white"/>
        </w:rPr>
      </w:pPr>
      <w:r w:rsidDel="00000000" w:rsidR="00000000" w:rsidRPr="00000000">
        <w:rPr>
          <w:color w:val="666666"/>
          <w:sz w:val="17"/>
          <w:szCs w:val="17"/>
          <w:rtl w:val="0"/>
        </w:rPr>
        <w:t xml:space="preserve">Para mayor información estamos a tu disposición en nuestra Banca por Teléfono al (01) 595-1200. Las tasas y tarifas de todos nuestros productos se encuentran publicadas en las oficinas del Banco y en www.bbva.pe</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203369140625" w:line="240" w:lineRule="auto"/>
        <w:ind w:left="8.84002685546875" w:right="0" w:firstLine="0"/>
        <w:jc w:val="left"/>
        <w:rPr>
          <w:rFonts w:ascii="Arial" w:cs="Arial" w:eastAsia="Arial" w:hAnsi="Arial"/>
          <w:b w:val="1"/>
          <w:bCs w:val="1"/>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1"/>
          <w:bCs w:val="1"/>
          <w:i w:val="0"/>
          <w:iCs w:val="0"/>
          <w:smallCaps w:val="0"/>
          <w:strike w:val="0"/>
          <w:color w:val="666666"/>
          <w:sz w:val="17"/>
          <w:szCs w:val="17"/>
          <w:highlight w:val="white"/>
          <w:u w:val="none"/>
          <w:vertAlign w:val="baseline"/>
          <w:rtl w:val="0"/>
        </w:rPr>
        <w:t xml:space="preserve">Sobre la oferta de financiamiento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10400390625" w:line="240" w:lineRule="auto"/>
        <w:ind w:left="13.43002319335937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Requisitos: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201171875" w:line="209.29601669311523" w:lineRule="auto"/>
        <w:ind w:left="380.01007080078125" w:right="32.589111328125"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Ser cliente Persona Natural con Negocio o Persona Jurídica de la Banca Negocios del BBVA.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201171875" w:line="209.29601669311523" w:lineRule="auto"/>
        <w:ind w:left="380.01007080078125" w:right="32.589111328125"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Clientes con campaña de crédito de Préstamo Comercial, Línea de Préstamo Comercial, Préstamo Digital Negocio y/o Préstamo Comercial para compra de deuda.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010070800781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Clientes con campaña de afiliación a POS Openpay.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010070800781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Clientes que se afilien al POS Openpay en el mismo día de contratación del crédito.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1702880859375" w:line="240" w:lineRule="auto"/>
        <w:ind w:left="3.9100646972656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Términos y Condiciones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799316406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Vigencia de la campaña: del 01/04/2026 al 30/04/2026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907958984375" w:line="201.60208225250244" w:lineRule="auto"/>
        <w:ind w:left="5.780029296875" w:right="9.866943359375" w:firstLine="7.649993896484375"/>
        <w:jc w:val="both"/>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El otorgamiento de un Préstamo Digital Negocio, Préstamo Comercial, Línea de Préstamo Comercial y Préstamo</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Comercial para compra de deuda está sujeto a evaluación crediticia, al mantenimiento de las condiciones crediticias</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que motivaron la pre aprobación del mismo, a la suscripción de documentos contractuales y a la presentación de</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documentación exigida por el Banco.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86181640625" w:line="201.6038990020752" w:lineRule="auto"/>
        <w:ind w:left="5.269927978515625" w:right="3.82080078125" w:firstLine="7.140045166015625"/>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Beneficios de la campaña: Cliente accede a una tasa preferencial de su oferta pre aprobada de crédito Pyme en caso</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se afilie un equipo POS Openpay antes de la contratación del crédito.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073974609375" w:line="240" w:lineRule="auto"/>
        <w:ind w:left="13.09005737304687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Pasos para acceder a la tasa preferencial: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095703125" w:line="240" w:lineRule="auto"/>
        <w:ind w:left="380.010070800781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Afiliarse a un equipo Openpay antes de contratar y/o desembolsar el crédito.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01007080078125" w:right="0" w:firstLine="0"/>
        <w:jc w:val="left"/>
        <w:rPr>
          <w:rFonts w:ascii="Arial" w:cs="Arial" w:eastAsia="Arial" w:hAnsi="Arial"/>
          <w:b w:val="0"/>
          <w:bCs w:val="0"/>
          <w:i w:val="0"/>
          <w:iCs w:val="0"/>
          <w:smallCaps w:val="0"/>
          <w:strike w:val="0"/>
          <w:color w:val="666666"/>
          <w:sz w:val="17"/>
          <w:szCs w:val="17"/>
          <w:highlight w:val="white"/>
          <w:u w:val="none"/>
          <w:vertAlign w:val="baseline"/>
        </w:rPr>
      </w:pPr>
      <w:r w:rsidDel="00000000" w:rsidR="00000000" w:rsidRPr="00000000">
        <w:rPr>
          <w:rFonts w:ascii="Arial" w:cs="Arial" w:eastAsia="Arial" w:hAnsi="Arial"/>
          <w:b w:val="0"/>
          <w:bCs w:val="0"/>
          <w:i w:val="0"/>
          <w:iCs w:val="0"/>
          <w:smallCaps w:val="0"/>
          <w:strike w:val="0"/>
          <w:color w:val="121212"/>
          <w:sz w:val="23"/>
          <w:szCs w:val="23"/>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Contratar y/o desembolsar el crédito Pyme en el mes de campaña para acceder a la tasa preferencial.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864013671875" w:line="201.60661697387695" w:lineRule="auto"/>
        <w:ind w:left="5.780029296875" w:right="21.021728515625" w:firstLine="7.310028076171875"/>
        <w:jc w:val="left"/>
        <w:rPr>
          <w:rFonts w:ascii="Arial" w:cs="Arial" w:eastAsia="Arial" w:hAnsi="Arial"/>
          <w:b w:val="0"/>
          <w:bCs w:val="0"/>
          <w:i w:val="0"/>
          <w:iCs w:val="0"/>
          <w:smallCaps w:val="0"/>
          <w:strike w:val="0"/>
          <w:color w:val="666666"/>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666666"/>
          <w:sz w:val="17"/>
          <w:szCs w:val="17"/>
          <w:highlight w:val="white"/>
          <w:u w:val="none"/>
          <w:vertAlign w:val="baseline"/>
          <w:rtl w:val="0"/>
        </w:rPr>
        <w:t xml:space="preserve">Para mayor información estamos a tu disposición en nuestra Banca por Teléfono al (01) 595-1200. Las tasas y tarifas </w:t>
      </w:r>
      <w:r w:rsidDel="00000000" w:rsidR="00000000" w:rsidRPr="00000000">
        <w:rPr>
          <w:rFonts w:ascii="Arial" w:cs="Arial" w:eastAsia="Arial" w:hAnsi="Arial"/>
          <w:b w:val="0"/>
          <w:bCs w:val="0"/>
          <w:i w:val="0"/>
          <w:iCs w:val="0"/>
          <w:smallCaps w:val="0"/>
          <w:strike w:val="0"/>
          <w:color w:val="666666"/>
          <w:sz w:val="17"/>
          <w:szCs w:val="17"/>
          <w:u w:val="none"/>
          <w:shd w:fill="auto" w:val="clear"/>
          <w:vertAlign w:val="baseline"/>
          <w:rtl w:val="0"/>
        </w:rPr>
        <w:t xml:space="preserve">de todos nuestros productos se encuentran publicadas en las oficinas del Banco y en www.bbva.pe</w:t>
      </w:r>
    </w:p>
    <w:sectPr>
      <w:pgSz w:h="16840" w:w="11920" w:orient="portrait"/>
      <w:pgMar w:bottom="1493.2958984375" w:top="1419.4580078125" w:left="1440" w:right="1419.3139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bv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