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1"/>
          <w:bCs w:val="1"/>
          <w:i w:val="0"/>
          <w:iCs w:val="0"/>
          <w:smallCaps w:val="0"/>
          <w:strike w:val="0"/>
          <w:color w:val="666666"/>
          <w:sz w:val="17"/>
          <w:szCs w:val="17"/>
          <w:highlight w:val="white"/>
          <w:u w:val="none"/>
          <w:vertAlign w:val="baseline"/>
          <w:rtl w:val="0"/>
        </w:rPr>
        <w:t xml:space="preserve">Aviso legal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910400390625" w:line="240" w:lineRule="auto"/>
        <w:ind w:left="6.1199951171875" w:right="0" w:firstLine="0"/>
        <w:jc w:val="left"/>
        <w:rPr>
          <w:rFonts w:ascii="Arial" w:cs="Arial" w:eastAsia="Arial" w:hAnsi="Arial"/>
          <w:b w:val="1"/>
          <w:bCs w:val="1"/>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1"/>
          <w:bCs w:val="1"/>
          <w:i w:val="0"/>
          <w:iCs w:val="0"/>
          <w:smallCaps w:val="0"/>
          <w:strike w:val="0"/>
          <w:color w:val="666666"/>
          <w:sz w:val="17"/>
          <w:szCs w:val="17"/>
          <w:highlight w:val="white"/>
          <w:u w:val="none"/>
          <w:vertAlign w:val="baseline"/>
          <w:rtl w:val="0"/>
        </w:rPr>
        <w:t xml:space="preserve">Sobre las campañas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9091796875" w:line="240" w:lineRule="auto"/>
        <w:ind w:left="8.84002685546875" w:right="0" w:firstLine="0"/>
        <w:jc w:val="left"/>
        <w:rPr>
          <w:rFonts w:ascii="Arial" w:cs="Arial" w:eastAsia="Arial" w:hAnsi="Arial"/>
          <w:b w:val="1"/>
          <w:bCs w:val="1"/>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1"/>
          <w:bCs w:val="1"/>
          <w:i w:val="0"/>
          <w:iCs w:val="0"/>
          <w:smallCaps w:val="0"/>
          <w:strike w:val="0"/>
          <w:color w:val="666666"/>
          <w:sz w:val="17"/>
          <w:szCs w:val="17"/>
          <w:highlight w:val="white"/>
          <w:u w:val="none"/>
          <w:vertAlign w:val="baseline"/>
          <w:rtl w:val="0"/>
        </w:rPr>
        <w:t xml:space="preserve">Sobre la comisión preferencial del POS Openpay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910400390625" w:line="240" w:lineRule="auto"/>
        <w:ind w:left="12.40997314453125" w:right="0" w:firstLine="0"/>
        <w:jc w:val="left"/>
        <w:rPr>
          <w:rFonts w:ascii="Arial" w:cs="Arial" w:eastAsia="Arial" w:hAnsi="Arial"/>
          <w:b w:val="1"/>
          <w:bCs w:val="1"/>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1"/>
          <w:bCs w:val="1"/>
          <w:i w:val="0"/>
          <w:iCs w:val="0"/>
          <w:smallCaps w:val="0"/>
          <w:strike w:val="0"/>
          <w:color w:val="666666"/>
          <w:sz w:val="17"/>
          <w:szCs w:val="17"/>
          <w:highlight w:val="white"/>
          <w:u w:val="none"/>
          <w:vertAlign w:val="baseline"/>
          <w:rtl w:val="0"/>
        </w:rPr>
        <w:t xml:space="preserve">Requisitos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770751953125" w:line="268.20322036743164" w:lineRule="auto"/>
        <w:ind w:left="374.7900390625" w:right="274.3768310546875" w:firstLine="0"/>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 Ser cliente BBVA Persona Natural con Negocio o Persona Jurídica de la Banca Negocios. ● Afiliarse por primera vez a la solución de cobros POS Openpay y asociarlo a una cuenta BBVA en moneda soles durante la vigencia de la campaña.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7333984375" w:line="268.20322036743164" w:lineRule="auto"/>
        <w:ind w:left="731.2199401855469" w:right="19.7412109375" w:hanging="356.4299011230469"/>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 Mantener el RUC activo y que su actividad económica principal registrada ante SUNAT coincida con el giro de</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negocio afiliado al POS Openpay Smart durante la vigencia de la campaña.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7333984375" w:line="268.20322036743164" w:lineRule="auto"/>
        <w:ind w:left="731.2199401855469" w:right="431.9683837890625" w:hanging="356.4299011230469"/>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 Los clientes con RUC 10, RUC 15 y RUC 17 deberán acreditar una antigüedad mínima de 3 meses en el negocio, en el momento de la afiliación, según la información registrada en SUNAT.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886474609375" w:line="240" w:lineRule="auto"/>
        <w:ind w:left="3.5699462890625" w:right="0" w:firstLine="0"/>
        <w:jc w:val="left"/>
        <w:rPr>
          <w:rFonts w:ascii="Arial" w:cs="Arial" w:eastAsia="Arial" w:hAnsi="Arial"/>
          <w:b w:val="1"/>
          <w:bCs w:val="1"/>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1"/>
          <w:bCs w:val="1"/>
          <w:i w:val="0"/>
          <w:iCs w:val="0"/>
          <w:smallCaps w:val="0"/>
          <w:strike w:val="0"/>
          <w:color w:val="666666"/>
          <w:sz w:val="17"/>
          <w:szCs w:val="17"/>
          <w:highlight w:val="white"/>
          <w:u w:val="none"/>
          <w:vertAlign w:val="baseline"/>
          <w:rtl w:val="0"/>
        </w:rPr>
        <w:t xml:space="preserve">Términos y condiciones: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910400390625" w:line="240" w:lineRule="auto"/>
        <w:ind w:left="0.679931640625" w:right="0" w:firstLine="0"/>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Vigencia de la campaña: Del 01 al 30 de abril del 2026.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9091796875" w:line="201.60321235656738" w:lineRule="auto"/>
        <w:ind w:left="6.1199951171875" w:right="4.058837890625" w:firstLine="2.38006591796875"/>
        <w:jc w:val="both"/>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Campaña exclusiva para clientes de la Banca Negocios BBVA que durante la vigencia de la campaña se afilien por primera vez (RUC nuevo) al POS Openpay, obtendrá una comisión preferencial, la cual se le detalla al momento de la</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afiliación, por los 3 primeros meses, siempre que pertenezca y se afilie en el rubro indicado. Luego de la aplicación de</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la comisión por los 3 meses, a partir del 01 de julio del 2026, se aplicará comisión según contrato vigente del cliente.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7073974609375" w:line="201.60254001617432" w:lineRule="auto"/>
        <w:ind w:left="5.780029296875" w:right="22.77099609375" w:firstLine="7.310028076171875"/>
        <w:jc w:val="both"/>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Para el POS Openpay agregador: la comisión especial sólo aplica para los cobros con tarjetas de débito y crédito local de las marcas Visa, Mastercard en moneda soles. Todas las tarifas cobran IGV por transacción de venta exitosa. En el caso de pagos con QR a través de billeteras considerar la comisión de tarjeta de débito.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7073974609375" w:line="201.602783203125" w:lineRule="auto"/>
        <w:ind w:left="5.780029296875" w:right="5.440673828125" w:firstLine="7.310028076171875"/>
        <w:jc w:val="both"/>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Para el POS Openpay adquirente: la comisión especial sólo aplica para los cobros con tarjetas débito y crédito local de</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las marcas Visa y Mastercard donde no se cobra IGV. Para los cobros con QR PLIN BBVA y YAPE considerar la</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comisión de tarjeta de débito. Sobre transacciones que se realicen con empresas emisoras de tarjetas de crédito, débito y prepago que no pertenecen al sector financiero (Emisores no financieros) aplican IGV.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706787109375" w:line="201.60254001617432" w:lineRule="auto"/>
        <w:ind w:left="5.95001220703125" w:right="9.473876953125" w:firstLine="7.480010986328125"/>
        <w:jc w:val="both"/>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En el caso del producto POS Openpay agregador, BBVA actúa como intermediario por lo que no tendrá</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responsabilidad legal por cualquier daño o perjuicio que pudiera derivarse de la idoneidad de los servicios o productos</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que ofrece Openpay Peru S.A.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706787109375" w:line="201.60322666168213" w:lineRule="auto"/>
        <w:ind w:left="11.219940185546875" w:right="14.10888671875" w:firstLine="1.8701171875"/>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Para más información, contáctanos en nuestra Banca por Teléfono al (01) 595-1200. Las tasas y tarifas de nuestros</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productos están disponibles en las oficinas del Banco y en bbva.pe.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19189453125" w:line="240" w:lineRule="auto"/>
        <w:ind w:left="8.84002685546875" w:right="0" w:firstLine="0"/>
        <w:jc w:val="left"/>
        <w:rPr>
          <w:rFonts w:ascii="Arial" w:cs="Arial" w:eastAsia="Arial" w:hAnsi="Arial"/>
          <w:b w:val="1"/>
          <w:bCs w:val="1"/>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1"/>
          <w:bCs w:val="1"/>
          <w:i w:val="0"/>
          <w:iCs w:val="0"/>
          <w:smallCaps w:val="0"/>
          <w:strike w:val="0"/>
          <w:color w:val="666666"/>
          <w:sz w:val="17"/>
          <w:szCs w:val="17"/>
          <w:highlight w:val="white"/>
          <w:u w:val="none"/>
          <w:vertAlign w:val="baseline"/>
          <w:rtl w:val="0"/>
        </w:rPr>
        <w:t xml:space="preserve">Sobre la campaña de beneficios Combo Power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910400390625" w:line="240" w:lineRule="auto"/>
        <w:ind w:left="12.40997314453125" w:right="0" w:firstLine="0"/>
        <w:jc w:val="left"/>
        <w:rPr>
          <w:rFonts w:ascii="Arial" w:cs="Arial" w:eastAsia="Arial" w:hAnsi="Arial"/>
          <w:b w:val="1"/>
          <w:bCs w:val="1"/>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1"/>
          <w:bCs w:val="1"/>
          <w:i w:val="0"/>
          <w:iCs w:val="0"/>
          <w:smallCaps w:val="0"/>
          <w:strike w:val="0"/>
          <w:color w:val="666666"/>
          <w:sz w:val="17"/>
          <w:szCs w:val="17"/>
          <w:highlight w:val="white"/>
          <w:u w:val="none"/>
          <w:vertAlign w:val="baseline"/>
          <w:rtl w:val="0"/>
        </w:rPr>
        <w:t xml:space="preserve">Requisitos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770751953125" w:line="268.20322036743164" w:lineRule="auto"/>
        <w:ind w:left="725.6100463867188" w:right="138.851318359375" w:hanging="350.82000732421875"/>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 Abrir una cuenta PJ BBVA Pyme en soles o dólares durante la vigencia de la campaña, en una oficina BBVA o por el canal digital www.bbva.pe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7333984375" w:line="268.20322036743164" w:lineRule="auto"/>
        <w:ind w:left="374.7900390625" w:right="1392.4053955078125" w:firstLine="0"/>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 Afiliar un POS Openpay o Desembolsar un préstamo Pyme asociado a la cuenta PJ abierta.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7333984375" w:line="268.20322036743164" w:lineRule="auto"/>
        <w:ind w:left="374.7900390625" w:right="1392.4053955078125" w:firstLine="0"/>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 Inscribirse a la campaña con un ejecutivo de Negocio BBVA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88616943359375" w:line="240" w:lineRule="auto"/>
        <w:ind w:left="13.430023193359375" w:right="0" w:firstLine="0"/>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Restricciones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60254001617432" w:lineRule="auto"/>
        <w:ind w:left="6.1199951171875" w:right="16.690673828125" w:firstLine="6.800079345703125"/>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No aplican aquellos que tengan una cuenta de ahorro o corriente PJ del BBVA al corte del 28 de febrero (sea cuenta</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activa o inactiva).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70831298828125" w:line="240" w:lineRule="auto"/>
        <w:ind w:left="3.5699462890625" w:right="0" w:firstLine="0"/>
        <w:jc w:val="left"/>
        <w:rPr>
          <w:rFonts w:ascii="Arial" w:cs="Arial" w:eastAsia="Arial" w:hAnsi="Arial"/>
          <w:b w:val="1"/>
          <w:bCs w:val="1"/>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1"/>
          <w:bCs w:val="1"/>
          <w:i w:val="0"/>
          <w:iCs w:val="0"/>
          <w:smallCaps w:val="0"/>
          <w:strike w:val="0"/>
          <w:color w:val="666666"/>
          <w:sz w:val="17"/>
          <w:szCs w:val="17"/>
          <w:highlight w:val="white"/>
          <w:u w:val="none"/>
          <w:vertAlign w:val="baseline"/>
          <w:rtl w:val="0"/>
        </w:rPr>
        <w:t xml:space="preserve">Términos y condiciones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90887451171875" w:line="240" w:lineRule="auto"/>
        <w:ind w:left="0.679931640625" w:right="0" w:firstLine="0"/>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Vigencia: Del 01 al 30 de abril de 2026.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91009521484375" w:line="240" w:lineRule="auto"/>
        <w:ind w:left="12.40997314453125" w:right="0" w:firstLine="0"/>
        <w:jc w:val="left"/>
        <w:rPr>
          <w:rFonts w:ascii="Arial" w:cs="Arial" w:eastAsia="Arial" w:hAnsi="Arial"/>
          <w:b w:val="1"/>
          <w:bCs w:val="1"/>
          <w:i w:val="0"/>
          <w:iCs w:val="0"/>
          <w:smallCaps w:val="0"/>
          <w:strike w:val="0"/>
          <w:color w:val="666666"/>
          <w:sz w:val="17"/>
          <w:szCs w:val="17"/>
          <w:u w:val="none"/>
          <w:shd w:fill="auto" w:val="clear"/>
          <w:vertAlign w:val="baseline"/>
        </w:rPr>
      </w:pPr>
      <w:r w:rsidDel="00000000" w:rsidR="00000000" w:rsidRPr="00000000">
        <w:rPr>
          <w:rFonts w:ascii="Arial" w:cs="Arial" w:eastAsia="Arial" w:hAnsi="Arial"/>
          <w:b w:val="1"/>
          <w:bCs w:val="1"/>
          <w:i w:val="0"/>
          <w:iCs w:val="0"/>
          <w:smallCaps w:val="0"/>
          <w:strike w:val="0"/>
          <w:color w:val="666666"/>
          <w:sz w:val="17"/>
          <w:szCs w:val="17"/>
          <w:highlight w:val="white"/>
          <w:u w:val="none"/>
          <w:vertAlign w:val="baseline"/>
          <w:rtl w:val="0"/>
        </w:rPr>
        <w:t xml:space="preserve">Beneficios:</w:t>
      </w:r>
      <w:r w:rsidDel="00000000" w:rsidR="00000000" w:rsidRPr="00000000">
        <w:rPr>
          <w:rFonts w:ascii="Arial" w:cs="Arial" w:eastAsia="Arial" w:hAnsi="Arial"/>
          <w:b w:val="1"/>
          <w:bCs w:val="1"/>
          <w:i w:val="0"/>
          <w:iCs w:val="0"/>
          <w:smallCaps w:val="0"/>
          <w:strike w:val="0"/>
          <w:color w:val="666666"/>
          <w:sz w:val="17"/>
          <w:szCs w:val="17"/>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29095458984375" w:line="240" w:lineRule="auto"/>
        <w:ind w:left="12.40997314453125" w:right="0" w:firstLine="0"/>
        <w:jc w:val="left"/>
        <w:rPr>
          <w:rFonts w:ascii="Arial" w:cs="Arial" w:eastAsia="Arial" w:hAnsi="Arial"/>
          <w:b w:val="1"/>
          <w:bCs w:val="1"/>
          <w:i w:val="0"/>
          <w:iCs w:val="0"/>
          <w:smallCaps w:val="0"/>
          <w:strike w:val="0"/>
          <w:color w:val="666666"/>
          <w:sz w:val="17"/>
          <w:szCs w:val="17"/>
          <w:u w:val="none"/>
          <w:shd w:fill="auto" w:val="clear"/>
          <w:vertAlign w:val="baseline"/>
        </w:rPr>
      </w:pPr>
      <w:r w:rsidDel="00000000" w:rsidR="00000000" w:rsidRPr="00000000">
        <w:rPr>
          <w:rFonts w:ascii="Arial" w:cs="Arial" w:eastAsia="Arial" w:hAnsi="Arial"/>
          <w:b w:val="1"/>
          <w:bCs w:val="1"/>
          <w:i w:val="0"/>
          <w:iCs w:val="0"/>
          <w:smallCaps w:val="0"/>
          <w:strike w:val="0"/>
          <w:color w:val="666666"/>
          <w:sz w:val="17"/>
          <w:szCs w:val="17"/>
          <w:highlight w:val="white"/>
          <w:u w:val="none"/>
          <w:vertAlign w:val="baseline"/>
          <w:rtl w:val="0"/>
        </w:rPr>
        <w:t xml:space="preserve">Para cuentas en Soles o Dólares:</w:t>
      </w:r>
      <w:r w:rsidDel="00000000" w:rsidR="00000000" w:rsidRPr="00000000">
        <w:rPr>
          <w:rFonts w:ascii="Arial" w:cs="Arial" w:eastAsia="Arial" w:hAnsi="Arial"/>
          <w:b w:val="1"/>
          <w:bCs w:val="1"/>
          <w:i w:val="0"/>
          <w:iCs w:val="0"/>
          <w:smallCaps w:val="0"/>
          <w:strike w:val="0"/>
          <w:color w:val="666666"/>
          <w:sz w:val="17"/>
          <w:szCs w:val="17"/>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45941162109375" w:line="249.6844482421875" w:lineRule="auto"/>
        <w:ind w:left="733.4300231933594" w:right="0" w:hanging="358.6399841308594"/>
        <w:jc w:val="left"/>
        <w:rPr>
          <w:rFonts w:ascii="Arial" w:cs="Arial" w:eastAsia="Arial" w:hAnsi="Arial"/>
          <w:b w:val="0"/>
          <w:bCs w:val="0"/>
          <w:i w:val="0"/>
          <w:iCs w:val="0"/>
          <w:smallCaps w:val="0"/>
          <w:strike w:val="0"/>
          <w:color w:val="666666"/>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 6 meses de exoneración de comisiones de todas las transferencias interbancarias a través de BBVA</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Empresas.</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8260498046875" w:line="249.68579292297363" w:lineRule="auto"/>
        <w:ind w:left="374.7900390625" w:right="570.755615234375" w:firstLine="0"/>
        <w:jc w:val="left"/>
        <w:rPr>
          <w:rFonts w:ascii="Arial" w:cs="Arial" w:eastAsia="Arial" w:hAnsi="Arial"/>
          <w:b w:val="0"/>
          <w:bCs w:val="0"/>
          <w:i w:val="0"/>
          <w:iCs w:val="0"/>
          <w:smallCaps w:val="0"/>
          <w:strike w:val="0"/>
          <w:color w:val="666666"/>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 6 meses de exoneración de todas las comisiones interplaza de transferencias ordinarias (por horarios).</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8260498046875" w:line="249.68579292297363" w:lineRule="auto"/>
        <w:ind w:left="374.7900390625" w:right="570.755615234375" w:firstLine="0"/>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 12 meses sin costo del servicio BBVA Empresas (versión Pyme).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0997314453125" w:right="0" w:firstLine="0"/>
        <w:jc w:val="left"/>
        <w:rPr>
          <w:rFonts w:ascii="Arial" w:cs="Arial" w:eastAsia="Arial" w:hAnsi="Arial"/>
          <w:b w:val="0"/>
          <w:bCs w:val="0"/>
          <w:i w:val="0"/>
          <w:iCs w:val="0"/>
          <w:smallCaps w:val="0"/>
          <w:strike w:val="0"/>
          <w:color w:val="666666"/>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La activación de los beneficios se realizará según la fecha de inscripción a la campaña con el Ejecutivo BBVA: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4609375" w:line="249.6844482421875" w:lineRule="auto"/>
        <w:ind w:left="374.7900390625" w:right="646.0064697265625" w:firstLine="0"/>
        <w:jc w:val="left"/>
        <w:rPr>
          <w:rFonts w:ascii="Arial" w:cs="Arial" w:eastAsia="Arial" w:hAnsi="Arial"/>
          <w:b w:val="0"/>
          <w:bCs w:val="0"/>
          <w:i w:val="0"/>
          <w:iCs w:val="0"/>
          <w:smallCaps w:val="0"/>
          <w:strike w:val="0"/>
          <w:color w:val="666666"/>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6666"/>
          <w:sz w:val="17"/>
          <w:szCs w:val="17"/>
          <w:u w:val="none"/>
          <w:shd w:fill="auto" w:val="clear"/>
          <w:vertAlign w:val="baseline"/>
          <w:rtl w:val="0"/>
        </w:rPr>
        <w:t xml:space="preserve">Inscripciones hasta el 24 de abril de 2026</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 Beneficios activos a partir del 1 de mayo de 2026. ● </w:t>
      </w:r>
      <w:r w:rsidDel="00000000" w:rsidR="00000000" w:rsidRPr="00000000">
        <w:rPr>
          <w:rFonts w:ascii="Arial" w:cs="Arial" w:eastAsia="Arial" w:hAnsi="Arial"/>
          <w:b w:val="1"/>
          <w:bCs w:val="1"/>
          <w:i w:val="0"/>
          <w:iCs w:val="0"/>
          <w:smallCaps w:val="0"/>
          <w:strike w:val="0"/>
          <w:color w:val="666666"/>
          <w:sz w:val="17"/>
          <w:szCs w:val="17"/>
          <w:u w:val="none"/>
          <w:shd w:fill="auto" w:val="clear"/>
          <w:vertAlign w:val="baseline"/>
          <w:rtl w:val="0"/>
        </w:rPr>
        <w:t xml:space="preserve">Inscripciones entre el 27 y el 30 de abril de 2026: </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Beneficios activos a partir del 1 de junio de 2026.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10205078125" w:line="201.6038990020752" w:lineRule="auto"/>
        <w:ind w:left="5.780029296875" w:right="6.776123046875" w:hanging="5.780029296875"/>
        <w:jc w:val="left"/>
        <w:rPr>
          <w:rFonts w:ascii="Arial" w:cs="Arial" w:eastAsia="Arial" w:hAnsi="Arial"/>
          <w:b w:val="0"/>
          <w:bCs w:val="0"/>
          <w:i w:val="0"/>
          <w:iCs w:val="0"/>
          <w:smallCaps w:val="0"/>
          <w:strike w:val="0"/>
          <w:color w:val="666666"/>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Al término de la vigencia de los beneficios, aplicarán las comisiones establecidas en el tarifario vigente según Cartilla</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 de Información de la Cuenta contratada.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0888671875" w:line="249.68307495117188" w:lineRule="auto"/>
        <w:ind w:left="11.049957275390625" w:right="10.748291015625" w:firstLine="1.360015869140625"/>
        <w:jc w:val="left"/>
        <w:rPr>
          <w:rFonts w:ascii="Arial" w:cs="Arial" w:eastAsia="Arial" w:hAnsi="Arial"/>
          <w:b w:val="0"/>
          <w:bCs w:val="0"/>
          <w:i w:val="0"/>
          <w:iCs w:val="0"/>
          <w:smallCaps w:val="0"/>
          <w:strike w:val="0"/>
          <w:color w:val="666666"/>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La cancelación o cierre de la cuenta antes de cumplirse los plazos de 6 o 12 meses (según corresponda a cada beneficio) resultará en la pérdida inmediata de las exoneraciones pendientes asociadas a esta campaña.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4853515625" w:line="249.6844482421875" w:lineRule="auto"/>
        <w:ind w:left="5.780029296875" w:right="11.112060546875" w:firstLine="6.62994384765625"/>
        <w:jc w:val="both"/>
        <w:rPr>
          <w:rFonts w:ascii="Arial" w:cs="Arial" w:eastAsia="Arial" w:hAnsi="Arial"/>
          <w:b w:val="0"/>
          <w:bCs w:val="0"/>
          <w:i w:val="0"/>
          <w:iCs w:val="0"/>
          <w:smallCaps w:val="0"/>
          <w:strike w:val="0"/>
          <w:color w:val="666666"/>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BBVA se reserva el derecho de anular la participación o deshabilitar los beneficios de cualquier cliente en caso de detectar indicios de fraude, manipulación o incumplimiento de los Términos y Condiciones. El Banco podrá aplicar las medidas necesarias para garantizar la integridad de la campaña.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481689453125" w:line="217.1169090270996" w:lineRule="auto"/>
        <w:ind w:left="5.780029296875" w:right="21.021728515625" w:firstLine="7.310028076171875"/>
        <w:jc w:val="left"/>
        <w:rPr>
          <w:rFonts w:ascii="Arial" w:cs="Arial" w:eastAsia="Arial" w:hAnsi="Arial"/>
          <w:b w:val="0"/>
          <w:bCs w:val="0"/>
          <w:i w:val="0"/>
          <w:iCs w:val="0"/>
          <w:smallCaps w:val="0"/>
          <w:strike w:val="0"/>
          <w:color w:val="666666"/>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Para mayor información estamos a tu disposición en nuestra Banca por Teléfono al (01) 595-1200. Las tasas y tarifas de todos nuestros productos se encuentran publicadas en las oficinas del Banco y en www.bbva.pe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203369140625" w:line="240" w:lineRule="auto"/>
        <w:ind w:left="8.84002685546875" w:right="0" w:firstLine="0"/>
        <w:jc w:val="left"/>
        <w:rPr>
          <w:rFonts w:ascii="Arial" w:cs="Arial" w:eastAsia="Arial" w:hAnsi="Arial"/>
          <w:b w:val="1"/>
          <w:bCs w:val="1"/>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1"/>
          <w:bCs w:val="1"/>
          <w:i w:val="0"/>
          <w:iCs w:val="0"/>
          <w:smallCaps w:val="0"/>
          <w:strike w:val="0"/>
          <w:color w:val="666666"/>
          <w:sz w:val="17"/>
          <w:szCs w:val="17"/>
          <w:highlight w:val="white"/>
          <w:u w:val="none"/>
          <w:vertAlign w:val="baseline"/>
          <w:rtl w:val="0"/>
        </w:rPr>
        <w:t xml:space="preserve">Sobre la oferta de financiamiento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910400390625" w:line="240" w:lineRule="auto"/>
        <w:ind w:left="13.430023193359375" w:right="0" w:firstLine="0"/>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Requisitos: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81201171875" w:line="209.29601669311523" w:lineRule="auto"/>
        <w:ind w:left="380.01007080078125" w:right="32.589111328125" w:firstLine="0"/>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121212"/>
          <w:sz w:val="23"/>
          <w:szCs w:val="23"/>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Ser cliente Persona Natural con Negocio o Persona Jurídica de la Banca Negocios del BBVA.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81201171875" w:line="209.29601669311523" w:lineRule="auto"/>
        <w:ind w:left="380.01007080078125" w:right="32.589111328125" w:firstLine="0"/>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121212"/>
          <w:sz w:val="23"/>
          <w:szCs w:val="23"/>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Clientes con campaña de crédito de Préstamo Comercial, Línea de Préstamo Comercial, Préstamo Digital Negocio y/o Préstamo Comercial para compra de deuda.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0.01007080078125" w:right="0" w:firstLine="0"/>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121212"/>
          <w:sz w:val="23"/>
          <w:szCs w:val="23"/>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Clientes con campaña de afiliación a POS Openpay.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0.01007080078125" w:right="0" w:firstLine="0"/>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121212"/>
          <w:sz w:val="23"/>
          <w:szCs w:val="23"/>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Clientes que se afilien al POS Openpay en el mismo día de contratación del crédito.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1702880859375" w:line="240" w:lineRule="auto"/>
        <w:ind w:left="3.910064697265625" w:right="0" w:firstLine="0"/>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Términos y Condiciones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679931640625" w:right="0" w:firstLine="0"/>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Vigencia de la campaña: del 01/04/2026 al 30/04/2026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907958984375" w:line="201.60208225250244" w:lineRule="auto"/>
        <w:ind w:left="5.780029296875" w:right="9.866943359375" w:firstLine="7.649993896484375"/>
        <w:jc w:val="both"/>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El otorgamiento de un Préstamo Digital Negocio, Préstamo Comercial, Línea de Préstamo Comercial y Préstamo</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Comercial para compra de deuda está sujeto a evaluación crediticia, al mantenimiento de las condiciones crediticias</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que motivaron la pre aprobación del mismo, a la suscripción de documentos contractuales y a la presentación de</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documentación exigida por el Banco.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7086181640625" w:line="201.6038990020752" w:lineRule="auto"/>
        <w:ind w:left="5.269927978515625" w:right="3.82080078125" w:firstLine="7.140045166015625"/>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Beneficios de la campaña: Cliente accede a una tasa preferencial de su oferta pre aprobada de crédito Pyme en caso</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se afilie un equipo POS Openpay antes de la contratación del crédito.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7073974609375" w:line="240" w:lineRule="auto"/>
        <w:ind w:left="13.090057373046875" w:right="0" w:firstLine="0"/>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Pasos para acceder a la tasa preferencial: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8095703125" w:line="240" w:lineRule="auto"/>
        <w:ind w:left="380.01007080078125" w:right="0" w:firstLine="0"/>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121212"/>
          <w:sz w:val="23"/>
          <w:szCs w:val="23"/>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Afiliarse a un equipo Openpay antes de contratar y/o desembolsar el crédito.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0.01007080078125" w:right="0" w:firstLine="0"/>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121212"/>
          <w:sz w:val="23"/>
          <w:szCs w:val="23"/>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Contratar y/o desembolsar el crédito Pyme en el mes de campaña para acceder a la tasa preferencial.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6864013671875" w:line="201.60661697387695" w:lineRule="auto"/>
        <w:ind w:left="5.780029296875" w:right="21.021728515625" w:firstLine="7.310028076171875"/>
        <w:jc w:val="left"/>
        <w:rPr>
          <w:rFonts w:ascii="Arial" w:cs="Arial" w:eastAsia="Arial" w:hAnsi="Arial"/>
          <w:b w:val="0"/>
          <w:bCs w:val="0"/>
          <w:i w:val="0"/>
          <w:iCs w:val="0"/>
          <w:smallCaps w:val="0"/>
          <w:strike w:val="0"/>
          <w:color w:val="666666"/>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Para mayor información estamos a tu disposición en nuestra Banca por Teléfono al (01) 595-1200. Las tasas y tarifas </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de todos nuestros productos se encuentran publicadas en las oficinas del Banco y en www.bbva.pe</w:t>
      </w:r>
    </w:p>
    <w:sectPr>
      <w:pgSz w:h="16840" w:w="11920" w:orient="portrait"/>
      <w:pgMar w:bottom="1493.2958984375" w:top="1419.4580078125" w:left="1440" w:right="1419.313964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