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color w:val="666666"/>
          <w:sz w:val="16"/>
          <w:szCs w:val="16"/>
        </w:rPr>
      </w:pPr>
      <w:r w:rsidDel="00000000" w:rsidR="00000000" w:rsidRPr="00000000">
        <w:rPr>
          <w:b w:val="1"/>
          <w:bCs w:val="1"/>
          <w:color w:val="666666"/>
          <w:sz w:val="16"/>
          <w:szCs w:val="16"/>
          <w:rtl w:val="0"/>
        </w:rPr>
        <w:t xml:space="preserve">Requisitos:</w:t>
      </w:r>
    </w:p>
    <w:p w:rsidR="00000000" w:rsidDel="00000000" w:rsidP="00000000" w:rsidRDefault="00000000" w:rsidRPr="00000000" w14:paraId="00000002">
      <w:pPr>
        <w:rPr>
          <w:color w:val="666666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666666"/>
          <w:sz w:val="16"/>
          <w:szCs w:val="16"/>
        </w:rPr>
      </w:pPr>
      <w:r w:rsidDel="00000000" w:rsidR="00000000" w:rsidRPr="00000000">
        <w:rPr>
          <w:color w:val="666666"/>
          <w:sz w:val="16"/>
          <w:szCs w:val="16"/>
          <w:rtl w:val="0"/>
        </w:rPr>
        <w:t xml:space="preserve">La activación de los beneficios se realizará según la fecha de inscripciones: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276" w:lineRule="auto"/>
        <w:ind w:left="720" w:hanging="360"/>
        <w:rPr>
          <w:color w:val="666666"/>
          <w:sz w:val="16"/>
          <w:szCs w:val="16"/>
        </w:rPr>
      </w:pPr>
      <w:r w:rsidDel="00000000" w:rsidR="00000000" w:rsidRPr="00000000">
        <w:rPr>
          <w:color w:val="666666"/>
          <w:sz w:val="16"/>
          <w:szCs w:val="16"/>
          <w:rtl w:val="0"/>
        </w:rPr>
        <w:t xml:space="preserve">Clientes persona jurídica de la banca negocio BBVA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color w:val="666666"/>
          <w:sz w:val="16"/>
          <w:szCs w:val="16"/>
        </w:rPr>
      </w:pPr>
      <w:r w:rsidDel="00000000" w:rsidR="00000000" w:rsidRPr="00000000">
        <w:rPr>
          <w:color w:val="666666"/>
          <w:sz w:val="16"/>
          <w:szCs w:val="16"/>
          <w:rtl w:val="0"/>
        </w:rPr>
        <w:t xml:space="preserve">Mantener el RUC activo y que su actividad económica principal registrada ante SUNAT coincida con el giro de negocio afiliado al Smart POS o Nuevo Smart POS durante la vigencia de la campaña.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color w:val="666666"/>
          <w:sz w:val="16"/>
          <w:szCs w:val="16"/>
        </w:rPr>
      </w:pPr>
      <w:r w:rsidDel="00000000" w:rsidR="00000000" w:rsidRPr="00000000">
        <w:rPr>
          <w:color w:val="666666"/>
          <w:sz w:val="16"/>
          <w:szCs w:val="16"/>
          <w:rtl w:val="0"/>
        </w:rPr>
        <w:t xml:space="preserve">Los clientes con RUC 10, RUC 15 y RUC 17 deberán acreditar una antigüedad mínima de 3 meses en el negocio, en el momento de la afiliación, según la información registrada en SUNAT.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spacing w:line="276" w:lineRule="auto"/>
        <w:ind w:left="720" w:hanging="360"/>
        <w:rPr>
          <w:color w:val="666666"/>
          <w:sz w:val="16"/>
          <w:szCs w:val="16"/>
        </w:rPr>
      </w:pPr>
      <w:r w:rsidDel="00000000" w:rsidR="00000000" w:rsidRPr="00000000">
        <w:rPr>
          <w:color w:val="666666"/>
          <w:sz w:val="16"/>
          <w:szCs w:val="16"/>
          <w:rtl w:val="0"/>
        </w:rPr>
        <w:t xml:space="preserve">El cliente deberá abrir desde 20 nóminas desde BBVA empresas 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color w:val="666666"/>
          <w:sz w:val="16"/>
          <w:szCs w:val="16"/>
        </w:rPr>
      </w:pPr>
      <w:r w:rsidDel="00000000" w:rsidR="00000000" w:rsidRPr="00000000">
        <w:rPr>
          <w:color w:val="666666"/>
          <w:sz w:val="16"/>
          <w:szCs w:val="16"/>
          <w:rtl w:val="0"/>
        </w:rPr>
        <w:t xml:space="preserve">Campaña exclusiva para los clientes que han recibido comunicación del BBVA</w:t>
      </w:r>
    </w:p>
    <w:p w:rsidR="00000000" w:rsidDel="00000000" w:rsidP="00000000" w:rsidRDefault="00000000" w:rsidRPr="00000000" w14:paraId="00000009">
      <w:pPr>
        <w:ind w:left="0" w:firstLine="0"/>
        <w:rPr>
          <w:color w:val="666666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0" w:firstLine="0"/>
        <w:rPr>
          <w:b w:val="1"/>
          <w:bCs w:val="1"/>
          <w:color w:val="666666"/>
          <w:sz w:val="16"/>
          <w:szCs w:val="16"/>
        </w:rPr>
      </w:pPr>
      <w:r w:rsidDel="00000000" w:rsidR="00000000" w:rsidRPr="00000000">
        <w:rPr>
          <w:b w:val="1"/>
          <w:bCs w:val="1"/>
          <w:color w:val="666666"/>
          <w:sz w:val="16"/>
          <w:szCs w:val="16"/>
          <w:rtl w:val="0"/>
        </w:rPr>
        <w:t xml:space="preserve">Términos y condiciones:</w:t>
      </w:r>
    </w:p>
    <w:p w:rsidR="00000000" w:rsidDel="00000000" w:rsidP="00000000" w:rsidRDefault="00000000" w:rsidRPr="00000000" w14:paraId="0000000B">
      <w:pPr>
        <w:spacing w:line="240" w:lineRule="auto"/>
        <w:ind w:left="0" w:firstLine="0"/>
        <w:rPr>
          <w:b w:val="1"/>
          <w:bCs w:val="1"/>
          <w:color w:val="666666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0" w:firstLine="0"/>
        <w:rPr>
          <w:color w:val="666666"/>
          <w:sz w:val="16"/>
          <w:szCs w:val="16"/>
        </w:rPr>
      </w:pPr>
      <w:r w:rsidDel="00000000" w:rsidR="00000000" w:rsidRPr="00000000">
        <w:rPr>
          <w:color w:val="666666"/>
          <w:sz w:val="16"/>
          <w:szCs w:val="16"/>
          <w:rtl w:val="0"/>
        </w:rPr>
        <w:t xml:space="preserve">Vigencia: del 1 al 30 de abril 2026</w:t>
      </w:r>
    </w:p>
    <w:p w:rsidR="00000000" w:rsidDel="00000000" w:rsidP="00000000" w:rsidRDefault="00000000" w:rsidRPr="00000000" w14:paraId="0000000D">
      <w:pPr>
        <w:spacing w:line="240" w:lineRule="auto"/>
        <w:ind w:left="0" w:firstLine="0"/>
        <w:rPr>
          <w:color w:val="666666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0" w:firstLine="0"/>
        <w:rPr>
          <w:color w:val="666666"/>
          <w:sz w:val="16"/>
          <w:szCs w:val="16"/>
        </w:rPr>
      </w:pPr>
      <w:r w:rsidDel="00000000" w:rsidR="00000000" w:rsidRPr="00000000">
        <w:rPr>
          <w:color w:val="666666"/>
          <w:sz w:val="16"/>
          <w:szCs w:val="16"/>
          <w:rtl w:val="0"/>
        </w:rPr>
        <w:t xml:space="preserve">Los clientes recibirán los siguientes beneficios:</w:t>
      </w:r>
    </w:p>
    <w:p w:rsidR="00000000" w:rsidDel="00000000" w:rsidP="00000000" w:rsidRDefault="00000000" w:rsidRPr="00000000" w14:paraId="0000000F">
      <w:pPr>
        <w:spacing w:line="240" w:lineRule="auto"/>
        <w:ind w:left="0" w:firstLine="0"/>
        <w:rPr>
          <w:color w:val="666666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80" w:line="240" w:lineRule="auto"/>
        <w:ind w:left="0" w:firstLine="0"/>
        <w:rPr>
          <w:color w:val="666666"/>
          <w:sz w:val="16"/>
          <w:szCs w:val="16"/>
        </w:rPr>
      </w:pPr>
      <w:r w:rsidDel="00000000" w:rsidR="00000000" w:rsidRPr="00000000">
        <w:rPr>
          <w:color w:val="666666"/>
          <w:sz w:val="16"/>
          <w:szCs w:val="16"/>
          <w:rtl w:val="0"/>
        </w:rPr>
        <w:t xml:space="preserve">C</w:t>
      </w:r>
      <w:r w:rsidDel="00000000" w:rsidR="00000000" w:rsidRPr="00000000">
        <w:rPr>
          <w:color w:val="666666"/>
          <w:sz w:val="16"/>
          <w:szCs w:val="16"/>
          <w:rtl w:val="0"/>
        </w:rPr>
        <w:t xml:space="preserve">omisión especial personalizada (previamente negociada con su ejecutivo), pagos sin intereses (PSI), puntos BBVA, 12 meses de exoneración en comisión de transferencias interbancarias e interplaza y BBVA empresas premiun.</w:t>
      </w:r>
    </w:p>
    <w:p w:rsidR="00000000" w:rsidDel="00000000" w:rsidP="00000000" w:rsidRDefault="00000000" w:rsidRPr="00000000" w14:paraId="00000011">
      <w:pPr>
        <w:spacing w:after="280" w:line="240" w:lineRule="auto"/>
        <w:ind w:left="0" w:firstLine="0"/>
        <w:rPr>
          <w:color w:val="666666"/>
          <w:sz w:val="16"/>
          <w:szCs w:val="16"/>
        </w:rPr>
      </w:pPr>
      <w:r w:rsidDel="00000000" w:rsidR="00000000" w:rsidRPr="00000000">
        <w:rPr>
          <w:color w:val="666666"/>
          <w:sz w:val="16"/>
          <w:szCs w:val="16"/>
          <w:rtl w:val="0"/>
        </w:rPr>
        <w:t xml:space="preserve">El beneficio de exoneración se dará según los tiempos de afiliación: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2"/>
        </w:numPr>
        <w:spacing w:before="240" w:line="276" w:lineRule="auto"/>
        <w:ind w:left="720" w:hanging="360"/>
        <w:jc w:val="both"/>
        <w:rPr>
          <w:color w:val="666666"/>
          <w:sz w:val="16"/>
          <w:szCs w:val="16"/>
        </w:rPr>
      </w:pPr>
      <w:r w:rsidDel="00000000" w:rsidR="00000000" w:rsidRPr="00000000">
        <w:rPr>
          <w:b w:val="1"/>
          <w:bCs w:val="1"/>
          <w:color w:val="666666"/>
          <w:sz w:val="16"/>
          <w:szCs w:val="16"/>
          <w:rtl w:val="0"/>
        </w:rPr>
        <w:t xml:space="preserve">Afiliaciones al 24 de abril de 2026</w:t>
      </w:r>
      <w:r w:rsidDel="00000000" w:rsidR="00000000" w:rsidRPr="00000000">
        <w:rPr>
          <w:color w:val="666666"/>
          <w:sz w:val="16"/>
          <w:szCs w:val="16"/>
          <w:rtl w:val="0"/>
        </w:rPr>
        <w:t xml:space="preserve">: Beneficios activos a partir del 1 de mayo de 2026, por 12 meses.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2"/>
        </w:numPr>
        <w:spacing w:after="240" w:line="276" w:lineRule="auto"/>
        <w:ind w:left="720" w:hanging="360"/>
        <w:jc w:val="both"/>
        <w:rPr>
          <w:color w:val="666666"/>
          <w:sz w:val="16"/>
          <w:szCs w:val="16"/>
        </w:rPr>
      </w:pPr>
      <w:r w:rsidDel="00000000" w:rsidR="00000000" w:rsidRPr="00000000">
        <w:rPr>
          <w:b w:val="1"/>
          <w:bCs w:val="1"/>
          <w:color w:val="666666"/>
          <w:sz w:val="16"/>
          <w:szCs w:val="16"/>
          <w:rtl w:val="0"/>
        </w:rPr>
        <w:t xml:space="preserve">Afiliaciones entre el 27 y el 30 de abril de 2026:</w:t>
      </w:r>
      <w:r w:rsidDel="00000000" w:rsidR="00000000" w:rsidRPr="00000000">
        <w:rPr>
          <w:color w:val="666666"/>
          <w:sz w:val="16"/>
          <w:szCs w:val="16"/>
          <w:rtl w:val="0"/>
        </w:rPr>
        <w:t xml:space="preserve"> Beneficios activos a partir del 1 de junio de 2026, por 12 meses.</w:t>
      </w:r>
    </w:p>
    <w:p w:rsidR="00000000" w:rsidDel="00000000" w:rsidP="00000000" w:rsidRDefault="00000000" w:rsidRPr="00000000" w14:paraId="00000014">
      <w:pPr>
        <w:widowControl w:val="0"/>
        <w:spacing w:after="240" w:before="240" w:line="276" w:lineRule="auto"/>
        <w:jc w:val="both"/>
        <w:rPr>
          <w:color w:val="666666"/>
          <w:sz w:val="16"/>
          <w:szCs w:val="16"/>
        </w:rPr>
      </w:pPr>
      <w:r w:rsidDel="00000000" w:rsidR="00000000" w:rsidRPr="00000000">
        <w:rPr>
          <w:color w:val="666666"/>
          <w:sz w:val="16"/>
          <w:szCs w:val="16"/>
          <w:rtl w:val="0"/>
        </w:rPr>
        <w:t xml:space="preserve">Al término de la vigencia del beneficio, aplicarán las comisiones establecidas en el tarifario vigente según Cartilla de Información de la Cuenta contratada.</w:t>
      </w:r>
    </w:p>
    <w:p w:rsidR="00000000" w:rsidDel="00000000" w:rsidP="00000000" w:rsidRDefault="00000000" w:rsidRPr="00000000" w14:paraId="00000015">
      <w:pPr>
        <w:widowControl w:val="0"/>
        <w:spacing w:after="240" w:before="240" w:line="276" w:lineRule="auto"/>
        <w:jc w:val="both"/>
        <w:rPr>
          <w:color w:val="666666"/>
          <w:sz w:val="17"/>
          <w:szCs w:val="17"/>
        </w:rPr>
      </w:pPr>
      <w:r w:rsidDel="00000000" w:rsidR="00000000" w:rsidRPr="00000000">
        <w:rPr>
          <w:color w:val="666666"/>
          <w:sz w:val="17"/>
          <w:szCs w:val="17"/>
          <w:rtl w:val="0"/>
        </w:rPr>
        <w:t xml:space="preserve">La cancelación o cierre de la cuenta antes de cumplirse los plazos de  6 o 12 meses (según corresponda a cada beneficio) resultará en la pérdida inmediata de las exoneraciones pendientes asociadas a esta campaña.</w:t>
      </w:r>
    </w:p>
    <w:p w:rsidR="00000000" w:rsidDel="00000000" w:rsidP="00000000" w:rsidRDefault="00000000" w:rsidRPr="00000000" w14:paraId="00000016">
      <w:pPr>
        <w:widowControl w:val="0"/>
        <w:spacing w:after="240" w:before="240" w:line="276" w:lineRule="auto"/>
        <w:jc w:val="both"/>
        <w:rPr>
          <w:color w:val="666666"/>
          <w:sz w:val="17"/>
          <w:szCs w:val="17"/>
        </w:rPr>
      </w:pPr>
      <w:r w:rsidDel="00000000" w:rsidR="00000000" w:rsidRPr="00000000">
        <w:rPr>
          <w:color w:val="666666"/>
          <w:sz w:val="17"/>
          <w:szCs w:val="17"/>
          <w:rtl w:val="0"/>
        </w:rPr>
        <w:t xml:space="preserve">BBVA se reserva el derecho de anular la participación o deshabilitar los beneficios de cualquier cliente en caso de detectar indicios de fraude, manipulación o incumplimiento de los Términos y Condiciones. El Banco podrá aplicar las medidas necesarias para garantizar la integridad de la campaña.</w:t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color w:val="666666"/>
          <w:sz w:val="17"/>
          <w:szCs w:val="17"/>
        </w:rPr>
      </w:pPr>
      <w:r w:rsidDel="00000000" w:rsidR="00000000" w:rsidRPr="00000000">
        <w:rPr>
          <w:color w:val="666666"/>
          <w:sz w:val="17"/>
          <w:szCs w:val="17"/>
          <w:rtl w:val="0"/>
        </w:rPr>
        <w:t xml:space="preserve">Para mayor información estamos a tu disposición en nuestra Banca por Teléfono al (01) 595-1200. Las tasas y tarifas de todos nuestros productos se encuentran publicadas en las oficinas del Banco y en www.bbva.pe</w:t>
      </w:r>
    </w:p>
    <w:p w:rsidR="00000000" w:rsidDel="00000000" w:rsidP="00000000" w:rsidRDefault="00000000" w:rsidRPr="00000000" w14:paraId="00000018">
      <w:pPr>
        <w:spacing w:after="280" w:line="240" w:lineRule="auto"/>
        <w:ind w:left="0" w:firstLine="0"/>
        <w:rPr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