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Calibri" w:cs="Calibri" w:eastAsia="Calibri" w:hAnsi="Calibri"/>
          <w:b w:val="1"/>
          <w:bCs w:val="1"/>
          <w:highlight w:val="white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highlight w:val="white"/>
          <w:u w:val="single"/>
          <w:rtl w:val="0"/>
        </w:rPr>
        <w:t xml:space="preserve">Requisitos:</w:t>
      </w:r>
    </w:p>
    <w:p w:rsidR="00000000" w:rsidDel="00000000" w:rsidP="00000000" w:rsidRDefault="00000000" w:rsidRPr="00000000" w14:paraId="00000002">
      <w:pPr>
        <w:jc w:val="both"/>
        <w:rPr>
          <w:rFonts w:ascii="Calibri" w:cs="Calibri" w:eastAsia="Calibri" w:hAnsi="Calibri"/>
          <w:b w:val="1"/>
          <w:bCs w:val="1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Ser cliente BBVA  Persona Natural con Negocio o Persona Jurídica de la Banca Negocios.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Afiliarse por primera vez a la solución de pagos Smart POS (BBVA) o Nuevo Smart POS (Openpay) y asociarlo a una cuenta BBVA en moneda soles durante la vigencia de la campaña.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Mantener el RUC activo y que su actividad económica principal registrada ante SUNAT coincida con el giro de negocio afiliado al Smart POS o Nuevo Smart POS durante la vigencia de la campaña.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Los clientes con RUC 10, RUC 15 y RUC 17 deberán acreditar una antigüedad mínima de 3 meses en el negocio, en el momento de la afiliación, según la información registrada en SUNAT.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Términos y condiciones: 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Calibri" w:cs="Calibri" w:eastAsia="Calibri" w:hAnsi="Calibri"/>
          <w:b w:val="1"/>
          <w:bCs w:val="1"/>
          <w:color w:val="ff0000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Vigencia de la campaña: Del 02 al 31 de marzo del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Campaña exclusiva para clientes de la Banca Negocios BBVA que durante la vigencia de la campaña se afilien por primera vez (RUC nuevo) a una solución de pago Smart POS (BBVA) o Nuevo Smart POS (Openpay), obtendrá una comisión preferencial, la cual se detallará al momento de la afiliación, por los 3 primeros meses, siempre que pertenezca y se afilie en el rubro indicado. Luego de la aplicación de la comisión por los 3 meses, a partir del 01 de junio del 2026, se aplicará comisión según contrato vigente del cliente.</w:t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Para el POS Openpay Smart agregador: la comisión especial sólo aplica para los cobros con tarjetas de débito y crédito local de las marcas Visa, Mastercard en moneda soles. Todas las tarifas cobran IGV por transacción de venta exitosa. En el caso de pagos con QR a través de billeteras considerar la comisión de tarjeta de débito.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Para el POS Openpay Smart adquirente: la comisión especial sólo aplica para los cobros con tarjetas débito y crédito local de las marcas Visa y Mastercard donde no se cobra IGV.  Para los cobros con QR PLIN BBVA y YAPE considerar la comisión de tarjeta de débito. Sobre transacciones que se realicen con empresas emisoras de tarjetas de crédito, débito y prepago que no pertenecen al sector financiero (Emisores no financieros) aplican IGV.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 el caso del producto POS Openpay Smart agregador, BBVA actúa como intermediario por lo que no tendrá responsabilidad legal por cualquier daño o perjuicio que pudiera derivarse de la idoneidad de los servicios o productos que ofrece Openpay Peru S.A. </w:t>
      </w:r>
    </w:p>
    <w:p w:rsidR="00000000" w:rsidDel="00000000" w:rsidP="00000000" w:rsidRDefault="00000000" w:rsidRPr="00000000" w14:paraId="00000011">
      <w:pPr>
        <w:widowControl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jc w:val="both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Para mayor información estamos a tu disposición en bbva.pe/empresas o en nuestra Banca por Teléfono de adquirencia al (01) 595-0005. Las tasas y tarifas de todos nuestros productos se encuentran publicadas en las oficinas del Banco y en bbva.pe.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850.393700787401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+hQiF7otLPxVJ614ooX9aMlAeQ==">CgMxLjA4AHIhMVQ5aUFTZE04djFfY3ZvNDVxRlo1UV9aNldyS0VyTm1M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