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666666"/>
          <w:sz w:val="17"/>
          <w:szCs w:val="17"/>
          <w:highlight w:val="white"/>
        </w:rPr>
      </w:pPr>
      <w:r w:rsidDel="00000000" w:rsidR="00000000" w:rsidRPr="00000000">
        <w:rPr>
          <w:b w:val="1"/>
          <w:bCs w:val="1"/>
          <w:color w:val="666666"/>
          <w:sz w:val="17"/>
          <w:szCs w:val="17"/>
          <w:highlight w:val="white"/>
          <w:rtl w:val="0"/>
        </w:rPr>
        <w:t xml:space="preserve">(*) Sobre la campaña de beneficios Combo Power</w:t>
      </w:r>
    </w:p>
    <w:p w:rsidR="00000000" w:rsidDel="00000000" w:rsidP="00000000" w:rsidRDefault="00000000" w:rsidRPr="00000000" w14:paraId="00000002">
      <w:pPr>
        <w:rPr>
          <w:b w:val="1"/>
          <w:bCs w:val="1"/>
          <w:color w:val="666666"/>
          <w:sz w:val="17"/>
          <w:szCs w:val="17"/>
          <w:highlight w:val="white"/>
        </w:rPr>
      </w:pPr>
      <w:r w:rsidDel="00000000" w:rsidR="00000000" w:rsidRPr="00000000">
        <w:rPr>
          <w:rtl w:val="0"/>
        </w:rPr>
      </w:r>
    </w:p>
    <w:p w:rsidR="00000000" w:rsidDel="00000000" w:rsidP="00000000" w:rsidRDefault="00000000" w:rsidRPr="00000000" w14:paraId="00000003">
      <w:pPr>
        <w:rPr>
          <w:b w:val="1"/>
          <w:bCs w:val="1"/>
          <w:color w:val="666666"/>
          <w:sz w:val="17"/>
          <w:szCs w:val="17"/>
          <w:highlight w:val="white"/>
        </w:rPr>
      </w:pPr>
      <w:r w:rsidDel="00000000" w:rsidR="00000000" w:rsidRPr="00000000">
        <w:rPr>
          <w:b w:val="1"/>
          <w:bCs w:val="1"/>
          <w:color w:val="666666"/>
          <w:sz w:val="17"/>
          <w:szCs w:val="17"/>
          <w:highlight w:val="white"/>
          <w:rtl w:val="0"/>
        </w:rPr>
        <w:t xml:space="preserve">Requisitos</w:t>
      </w:r>
    </w:p>
    <w:p w:rsidR="00000000" w:rsidDel="00000000" w:rsidP="00000000" w:rsidRDefault="00000000" w:rsidRPr="00000000" w14:paraId="00000004">
      <w:pPr>
        <w:numPr>
          <w:ilvl w:val="0"/>
          <w:numId w:val="1"/>
        </w:numPr>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Abrir una cuenta PJ BBVA Pyme en soles o dólares durante la vigencia de la campaña, en una oficina BBVA o por el canal digital </w:t>
      </w:r>
      <w:hyperlink r:id="rId6">
        <w:r w:rsidDel="00000000" w:rsidR="00000000" w:rsidRPr="00000000">
          <w:rPr>
            <w:color w:val="666666"/>
            <w:sz w:val="17"/>
            <w:szCs w:val="17"/>
            <w:highlight w:val="white"/>
            <w:rtl w:val="0"/>
          </w:rPr>
          <w:t xml:space="preserve">www.bbva.pe</w:t>
        </w:r>
      </w:hyperlink>
      <w:r w:rsidDel="00000000" w:rsidR="00000000" w:rsidRPr="00000000">
        <w:rPr>
          <w:rtl w:val="0"/>
        </w:rPr>
      </w:r>
    </w:p>
    <w:p w:rsidR="00000000" w:rsidDel="00000000" w:rsidP="00000000" w:rsidRDefault="00000000" w:rsidRPr="00000000" w14:paraId="00000005">
      <w:pPr>
        <w:numPr>
          <w:ilvl w:val="0"/>
          <w:numId w:val="1"/>
        </w:numPr>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Afiliar un POS Openpay o Desembolsar un préstamo Pyme asociado a la cuenta PJ abierta.</w:t>
      </w:r>
    </w:p>
    <w:p w:rsidR="00000000" w:rsidDel="00000000" w:rsidP="00000000" w:rsidRDefault="00000000" w:rsidRPr="00000000" w14:paraId="00000006">
      <w:pPr>
        <w:numPr>
          <w:ilvl w:val="0"/>
          <w:numId w:val="1"/>
        </w:numPr>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Inscribirse a la campaña con un ejecutivo de Negocio BBVA </w:t>
      </w:r>
    </w:p>
    <w:p w:rsidR="00000000" w:rsidDel="00000000" w:rsidP="00000000" w:rsidRDefault="00000000" w:rsidRPr="00000000" w14:paraId="00000007">
      <w:pPr>
        <w:jc w:val="both"/>
        <w:rPr>
          <w:color w:val="666666"/>
          <w:sz w:val="17"/>
          <w:szCs w:val="17"/>
          <w:highlight w:val="white"/>
        </w:rPr>
      </w:pPr>
      <w:r w:rsidDel="00000000" w:rsidR="00000000" w:rsidRPr="00000000">
        <w:rPr>
          <w:color w:val="666666"/>
          <w:sz w:val="17"/>
          <w:szCs w:val="17"/>
          <w:highlight w:val="white"/>
          <w:rtl w:val="0"/>
        </w:rPr>
        <w:t xml:space="preserve">Restricciones</w:t>
      </w:r>
    </w:p>
    <w:p w:rsidR="00000000" w:rsidDel="00000000" w:rsidP="00000000" w:rsidRDefault="00000000" w:rsidRPr="00000000" w14:paraId="00000008">
      <w:pPr>
        <w:jc w:val="both"/>
        <w:rPr>
          <w:color w:val="666666"/>
          <w:sz w:val="17"/>
          <w:szCs w:val="17"/>
          <w:highlight w:val="white"/>
        </w:rPr>
      </w:pPr>
      <w:r w:rsidDel="00000000" w:rsidR="00000000" w:rsidRPr="00000000">
        <w:rPr>
          <w:color w:val="666666"/>
          <w:sz w:val="17"/>
          <w:szCs w:val="17"/>
          <w:highlight w:val="white"/>
          <w:rtl w:val="0"/>
        </w:rPr>
        <w:t xml:space="preserve">No aplican aquellos que tengan una cuenta de ahorro o corriente PJ del BBVA al c</w:t>
      </w:r>
      <w:r w:rsidDel="00000000" w:rsidR="00000000" w:rsidRPr="00000000">
        <w:rPr>
          <w:color w:val="666666"/>
          <w:sz w:val="17"/>
          <w:szCs w:val="17"/>
          <w:highlight w:val="white"/>
          <w:rtl w:val="0"/>
        </w:rPr>
        <w:t xml:space="preserve">orte del 28 de febrero</w:t>
      </w:r>
      <w:r w:rsidDel="00000000" w:rsidR="00000000" w:rsidRPr="00000000">
        <w:rPr>
          <w:color w:val="666666"/>
          <w:sz w:val="17"/>
          <w:szCs w:val="17"/>
          <w:highlight w:val="white"/>
          <w:rtl w:val="0"/>
        </w:rPr>
        <w:t xml:space="preserve"> (sea cuenta activa o inactiva).</w:t>
      </w:r>
    </w:p>
    <w:p w:rsidR="00000000" w:rsidDel="00000000" w:rsidP="00000000" w:rsidRDefault="00000000" w:rsidRPr="00000000" w14:paraId="00000009">
      <w:pPr>
        <w:widowControl w:val="0"/>
        <w:spacing w:after="240" w:before="240" w:line="276" w:lineRule="auto"/>
        <w:jc w:val="both"/>
        <w:rPr>
          <w:b w:val="1"/>
          <w:bCs w:val="1"/>
          <w:color w:val="666666"/>
          <w:sz w:val="16"/>
          <w:szCs w:val="16"/>
        </w:rPr>
      </w:pPr>
      <w:r w:rsidDel="00000000" w:rsidR="00000000" w:rsidRPr="00000000">
        <w:rPr>
          <w:b w:val="1"/>
          <w:bCs w:val="1"/>
          <w:color w:val="666666"/>
          <w:sz w:val="16"/>
          <w:szCs w:val="16"/>
          <w:rtl w:val="0"/>
        </w:rPr>
        <w:t xml:space="preserve">Términos y condiciones</w:t>
      </w:r>
    </w:p>
    <w:p w:rsidR="00000000" w:rsidDel="00000000" w:rsidP="00000000" w:rsidRDefault="00000000" w:rsidRPr="00000000" w14:paraId="0000000A">
      <w:pPr>
        <w:widowControl w:val="0"/>
        <w:spacing w:after="240" w:before="240" w:line="276" w:lineRule="auto"/>
        <w:jc w:val="both"/>
        <w:rPr>
          <w:color w:val="666666"/>
          <w:sz w:val="16"/>
          <w:szCs w:val="16"/>
        </w:rPr>
      </w:pPr>
      <w:r w:rsidDel="00000000" w:rsidR="00000000" w:rsidRPr="00000000">
        <w:rPr>
          <w:b w:val="1"/>
          <w:bCs w:val="1"/>
          <w:color w:val="666666"/>
          <w:sz w:val="16"/>
          <w:szCs w:val="16"/>
          <w:rtl w:val="0"/>
        </w:rPr>
        <w:t xml:space="preserve">Vigencia:</w:t>
      </w:r>
      <w:r w:rsidDel="00000000" w:rsidR="00000000" w:rsidRPr="00000000">
        <w:rPr>
          <w:color w:val="666666"/>
          <w:sz w:val="16"/>
          <w:szCs w:val="16"/>
          <w:rtl w:val="0"/>
        </w:rPr>
        <w:t xml:space="preserve"> Del </w:t>
      </w:r>
      <w:r w:rsidDel="00000000" w:rsidR="00000000" w:rsidRPr="00000000">
        <w:rPr>
          <w:b w:val="1"/>
          <w:bCs w:val="1"/>
          <w:color w:val="666666"/>
          <w:sz w:val="16"/>
          <w:szCs w:val="16"/>
          <w:rtl w:val="0"/>
        </w:rPr>
        <w:t xml:space="preserve">1 al 31 de marzo de 2026.</w:t>
      </w:r>
      <w:r w:rsidDel="00000000" w:rsidR="00000000" w:rsidRPr="00000000">
        <w:rPr>
          <w:rtl w:val="0"/>
        </w:rPr>
      </w:r>
    </w:p>
    <w:p w:rsidR="00000000" w:rsidDel="00000000" w:rsidP="00000000" w:rsidRDefault="00000000" w:rsidRPr="00000000" w14:paraId="0000000B">
      <w:pPr>
        <w:widowControl w:val="0"/>
        <w:spacing w:after="240" w:before="240" w:line="276" w:lineRule="auto"/>
        <w:jc w:val="both"/>
        <w:rPr>
          <w:color w:val="666666"/>
          <w:sz w:val="16"/>
          <w:szCs w:val="16"/>
        </w:rPr>
      </w:pPr>
      <w:r w:rsidDel="00000000" w:rsidR="00000000" w:rsidRPr="00000000">
        <w:rPr>
          <w:b w:val="1"/>
          <w:bCs w:val="1"/>
          <w:color w:val="666666"/>
          <w:sz w:val="16"/>
          <w:szCs w:val="16"/>
          <w:rtl w:val="0"/>
        </w:rPr>
        <w:t xml:space="preserve">Beneficios:</w:t>
      </w:r>
      <w:r w:rsidDel="00000000" w:rsidR="00000000" w:rsidRPr="00000000">
        <w:rPr>
          <w:color w:val="666666"/>
          <w:sz w:val="16"/>
          <w:szCs w:val="16"/>
          <w:rtl w:val="0"/>
        </w:rPr>
        <w:t xml:space="preserve"> </w:t>
      </w:r>
    </w:p>
    <w:p w:rsidR="00000000" w:rsidDel="00000000" w:rsidP="00000000" w:rsidRDefault="00000000" w:rsidRPr="00000000" w14:paraId="0000000C">
      <w:pPr>
        <w:widowControl w:val="0"/>
        <w:spacing w:after="240" w:before="240" w:line="276" w:lineRule="auto"/>
        <w:jc w:val="both"/>
        <w:rPr>
          <w:color w:val="666666"/>
          <w:sz w:val="16"/>
          <w:szCs w:val="16"/>
        </w:rPr>
      </w:pPr>
      <w:r w:rsidDel="00000000" w:rsidR="00000000" w:rsidRPr="00000000">
        <w:rPr>
          <w:b w:val="1"/>
          <w:bCs w:val="1"/>
          <w:color w:val="666666"/>
          <w:sz w:val="16"/>
          <w:szCs w:val="16"/>
          <w:rtl w:val="0"/>
        </w:rPr>
        <w:t xml:space="preserve">Para cuentas en Soles o Dólares:</w:t>
      </w:r>
      <w:r w:rsidDel="00000000" w:rsidR="00000000" w:rsidRPr="00000000">
        <w:rPr>
          <w:rtl w:val="0"/>
        </w:rPr>
      </w:r>
    </w:p>
    <w:p w:rsidR="00000000" w:rsidDel="00000000" w:rsidP="00000000" w:rsidRDefault="00000000" w:rsidRPr="00000000" w14:paraId="0000000D">
      <w:pPr>
        <w:widowControl w:val="0"/>
        <w:numPr>
          <w:ilvl w:val="0"/>
          <w:numId w:val="2"/>
        </w:numPr>
        <w:spacing w:line="276" w:lineRule="auto"/>
        <w:ind w:left="720" w:hanging="360"/>
        <w:jc w:val="both"/>
        <w:rPr>
          <w:color w:val="666666"/>
          <w:sz w:val="16"/>
          <w:szCs w:val="16"/>
        </w:rPr>
      </w:pPr>
      <w:r w:rsidDel="00000000" w:rsidR="00000000" w:rsidRPr="00000000">
        <w:rPr>
          <w:color w:val="666666"/>
          <w:sz w:val="16"/>
          <w:szCs w:val="16"/>
          <w:rtl w:val="0"/>
        </w:rPr>
        <w:t xml:space="preserve">12 meses sin cobro de la comisión de mantenimiento de cuenta.</w:t>
      </w:r>
    </w:p>
    <w:p w:rsidR="00000000" w:rsidDel="00000000" w:rsidP="00000000" w:rsidRDefault="00000000" w:rsidRPr="00000000" w14:paraId="0000000E">
      <w:pPr>
        <w:widowControl w:val="0"/>
        <w:numPr>
          <w:ilvl w:val="0"/>
          <w:numId w:val="2"/>
        </w:numPr>
        <w:spacing w:line="276" w:lineRule="auto"/>
        <w:ind w:left="720" w:hanging="360"/>
        <w:jc w:val="both"/>
        <w:rPr>
          <w:color w:val="666666"/>
          <w:sz w:val="16"/>
          <w:szCs w:val="16"/>
        </w:rPr>
      </w:pPr>
      <w:r w:rsidDel="00000000" w:rsidR="00000000" w:rsidRPr="00000000">
        <w:rPr>
          <w:color w:val="666666"/>
          <w:sz w:val="16"/>
          <w:szCs w:val="16"/>
          <w:rtl w:val="0"/>
        </w:rPr>
        <w:t xml:space="preserve">12 meses de exoneración de comisiones de todas las transferencias interbancarias a través de BBVA Empresas.</w:t>
      </w:r>
    </w:p>
    <w:p w:rsidR="00000000" w:rsidDel="00000000" w:rsidP="00000000" w:rsidRDefault="00000000" w:rsidRPr="00000000" w14:paraId="0000000F">
      <w:pPr>
        <w:widowControl w:val="0"/>
        <w:numPr>
          <w:ilvl w:val="0"/>
          <w:numId w:val="2"/>
        </w:numPr>
        <w:spacing w:line="276" w:lineRule="auto"/>
        <w:ind w:left="720" w:hanging="360"/>
        <w:jc w:val="both"/>
        <w:rPr>
          <w:color w:val="666666"/>
          <w:sz w:val="16"/>
          <w:szCs w:val="16"/>
        </w:rPr>
      </w:pPr>
      <w:r w:rsidDel="00000000" w:rsidR="00000000" w:rsidRPr="00000000">
        <w:rPr>
          <w:color w:val="666666"/>
          <w:sz w:val="16"/>
          <w:szCs w:val="16"/>
          <w:rtl w:val="0"/>
        </w:rPr>
        <w:t xml:space="preserve">12 meses de exoneración de todas las comisiones interplaza de transferencias ordinarias (por horarios).</w:t>
      </w:r>
    </w:p>
    <w:p w:rsidR="00000000" w:rsidDel="00000000" w:rsidP="00000000" w:rsidRDefault="00000000" w:rsidRPr="00000000" w14:paraId="00000010">
      <w:pPr>
        <w:widowControl w:val="0"/>
        <w:numPr>
          <w:ilvl w:val="0"/>
          <w:numId w:val="2"/>
        </w:numPr>
        <w:spacing w:line="276" w:lineRule="auto"/>
        <w:ind w:left="720" w:hanging="360"/>
        <w:jc w:val="both"/>
        <w:rPr>
          <w:color w:val="666666"/>
          <w:sz w:val="16"/>
          <w:szCs w:val="16"/>
        </w:rPr>
      </w:pPr>
      <w:r w:rsidDel="00000000" w:rsidR="00000000" w:rsidRPr="00000000">
        <w:rPr>
          <w:color w:val="666666"/>
          <w:sz w:val="16"/>
          <w:szCs w:val="16"/>
          <w:rtl w:val="0"/>
        </w:rPr>
        <w:t xml:space="preserve">12 meses sin costo del servicio BBVA Empresas (versión Pyme).</w:t>
      </w:r>
    </w:p>
    <w:p w:rsidR="00000000" w:rsidDel="00000000" w:rsidP="00000000" w:rsidRDefault="00000000" w:rsidRPr="00000000" w14:paraId="00000011">
      <w:pPr>
        <w:widowControl w:val="0"/>
        <w:spacing w:after="240" w:before="240" w:line="276" w:lineRule="auto"/>
        <w:jc w:val="both"/>
        <w:rPr>
          <w:color w:val="666666"/>
          <w:sz w:val="16"/>
          <w:szCs w:val="16"/>
        </w:rPr>
      </w:pPr>
      <w:r w:rsidDel="00000000" w:rsidR="00000000" w:rsidRPr="00000000">
        <w:rPr>
          <w:color w:val="666666"/>
          <w:sz w:val="16"/>
          <w:szCs w:val="16"/>
          <w:rtl w:val="0"/>
        </w:rPr>
        <w:t xml:space="preserve">La activación de los beneficios se realizará según la fecha de inscripción a la campaña con el Ejecutivo BBVA:</w:t>
      </w:r>
    </w:p>
    <w:p w:rsidR="00000000" w:rsidDel="00000000" w:rsidP="00000000" w:rsidRDefault="00000000" w:rsidRPr="00000000" w14:paraId="00000012">
      <w:pPr>
        <w:widowControl w:val="0"/>
        <w:numPr>
          <w:ilvl w:val="0"/>
          <w:numId w:val="2"/>
        </w:numPr>
        <w:spacing w:before="240" w:line="276" w:lineRule="auto"/>
        <w:ind w:left="720" w:hanging="360"/>
        <w:jc w:val="both"/>
        <w:rPr>
          <w:color w:val="666666"/>
          <w:sz w:val="16"/>
          <w:szCs w:val="16"/>
        </w:rPr>
      </w:pPr>
      <w:r w:rsidDel="00000000" w:rsidR="00000000" w:rsidRPr="00000000">
        <w:rPr>
          <w:b w:val="1"/>
          <w:bCs w:val="1"/>
          <w:color w:val="666666"/>
          <w:sz w:val="16"/>
          <w:szCs w:val="16"/>
          <w:rtl w:val="0"/>
        </w:rPr>
        <w:t xml:space="preserve">Inscripciones hasta el 24 de marzo de 2026</w:t>
      </w:r>
      <w:r w:rsidDel="00000000" w:rsidR="00000000" w:rsidRPr="00000000">
        <w:rPr>
          <w:color w:val="666666"/>
          <w:sz w:val="16"/>
          <w:szCs w:val="16"/>
          <w:rtl w:val="0"/>
        </w:rPr>
        <w:t xml:space="preserve">: Beneficios activos a partir del 1 de abril de 2026, por 12 meses.</w:t>
      </w:r>
    </w:p>
    <w:p w:rsidR="00000000" w:rsidDel="00000000" w:rsidP="00000000" w:rsidRDefault="00000000" w:rsidRPr="00000000" w14:paraId="00000013">
      <w:pPr>
        <w:widowControl w:val="0"/>
        <w:numPr>
          <w:ilvl w:val="0"/>
          <w:numId w:val="2"/>
        </w:numPr>
        <w:spacing w:after="240" w:line="276" w:lineRule="auto"/>
        <w:ind w:left="720" w:hanging="360"/>
        <w:jc w:val="both"/>
        <w:rPr>
          <w:color w:val="666666"/>
          <w:sz w:val="16"/>
          <w:szCs w:val="16"/>
        </w:rPr>
      </w:pPr>
      <w:r w:rsidDel="00000000" w:rsidR="00000000" w:rsidRPr="00000000">
        <w:rPr>
          <w:b w:val="1"/>
          <w:bCs w:val="1"/>
          <w:color w:val="666666"/>
          <w:sz w:val="16"/>
          <w:szCs w:val="16"/>
          <w:rtl w:val="0"/>
        </w:rPr>
        <w:t xml:space="preserve">Inscripciones entre el 25 y el 31 de marzo de 2026:</w:t>
      </w:r>
      <w:r w:rsidDel="00000000" w:rsidR="00000000" w:rsidRPr="00000000">
        <w:rPr>
          <w:color w:val="666666"/>
          <w:sz w:val="16"/>
          <w:szCs w:val="16"/>
          <w:rtl w:val="0"/>
        </w:rPr>
        <w:t xml:space="preserve"> Beneficios activos a partir del 1 de mayo de 2026, por 12 meses.</w:t>
      </w:r>
    </w:p>
    <w:p w:rsidR="00000000" w:rsidDel="00000000" w:rsidP="00000000" w:rsidRDefault="00000000" w:rsidRPr="00000000" w14:paraId="00000014">
      <w:pPr>
        <w:widowControl w:val="0"/>
        <w:spacing w:after="240" w:before="240" w:line="276" w:lineRule="auto"/>
        <w:jc w:val="both"/>
        <w:rPr>
          <w:color w:val="666666"/>
          <w:sz w:val="16"/>
          <w:szCs w:val="16"/>
        </w:rPr>
      </w:pPr>
      <w:r w:rsidDel="00000000" w:rsidR="00000000" w:rsidRPr="00000000">
        <w:rPr>
          <w:color w:val="666666"/>
          <w:sz w:val="16"/>
          <w:szCs w:val="16"/>
          <w:rtl w:val="0"/>
        </w:rPr>
        <w:t xml:space="preserve">Al término de la vigencia del beneficio, aplicarán las comisiones establecidas en el tarifario vigente según Cartilla de Información de la Cuenta contratada.</w:t>
      </w:r>
      <w:r w:rsidDel="00000000" w:rsidR="00000000" w:rsidRPr="00000000">
        <w:rPr>
          <w:rtl w:val="0"/>
        </w:rPr>
      </w:r>
    </w:p>
    <w:p w:rsidR="00000000" w:rsidDel="00000000" w:rsidP="00000000" w:rsidRDefault="00000000" w:rsidRPr="00000000" w14:paraId="00000015">
      <w:pPr>
        <w:widowControl w:val="0"/>
        <w:spacing w:after="240" w:before="240" w:line="276" w:lineRule="auto"/>
        <w:jc w:val="both"/>
        <w:rPr>
          <w:color w:val="666666"/>
          <w:sz w:val="17"/>
          <w:szCs w:val="17"/>
        </w:rPr>
      </w:pPr>
      <w:r w:rsidDel="00000000" w:rsidR="00000000" w:rsidRPr="00000000">
        <w:rPr>
          <w:color w:val="666666"/>
          <w:sz w:val="17"/>
          <w:szCs w:val="17"/>
          <w:rtl w:val="0"/>
        </w:rPr>
        <w:t xml:space="preserve">La cancelación o cierre de la cuenta antes de cumplirse los plazos de  6 o 12 meses (según corresponda a cada beneficio) resultará en la pérdida inmediata de las exoneraciones pendientes asociadas a esta campaña.</w:t>
      </w:r>
    </w:p>
    <w:p w:rsidR="00000000" w:rsidDel="00000000" w:rsidP="00000000" w:rsidRDefault="00000000" w:rsidRPr="00000000" w14:paraId="00000016">
      <w:pPr>
        <w:widowControl w:val="0"/>
        <w:spacing w:after="240" w:before="240" w:line="276" w:lineRule="auto"/>
        <w:jc w:val="both"/>
        <w:rPr>
          <w:color w:val="666666"/>
          <w:sz w:val="17"/>
          <w:szCs w:val="17"/>
        </w:rPr>
      </w:pPr>
      <w:r w:rsidDel="00000000" w:rsidR="00000000" w:rsidRPr="00000000">
        <w:rPr>
          <w:color w:val="666666"/>
          <w:sz w:val="17"/>
          <w:szCs w:val="17"/>
          <w:rtl w:val="0"/>
        </w:rPr>
        <w:t xml:space="preserve">BBVA se reserva el derecho de anular la participación o deshabilitar los beneficios de cualquier cliente en caso de detectar indicios de fraude, manipulación o incumplimiento de los Términos y Condiciones. El Banco podrá aplicar las medidas necesarias para garantizar la integridad de la campaña.</w:t>
      </w:r>
    </w:p>
    <w:p w:rsidR="00000000" w:rsidDel="00000000" w:rsidP="00000000" w:rsidRDefault="00000000" w:rsidRPr="00000000" w14:paraId="00000017">
      <w:pPr>
        <w:spacing w:line="240" w:lineRule="auto"/>
        <w:jc w:val="both"/>
        <w:rPr>
          <w:color w:val="666666"/>
          <w:sz w:val="17"/>
          <w:szCs w:val="17"/>
        </w:rPr>
      </w:pPr>
      <w:r w:rsidDel="00000000" w:rsidR="00000000" w:rsidRPr="00000000">
        <w:rPr>
          <w:color w:val="666666"/>
          <w:sz w:val="17"/>
          <w:szCs w:val="17"/>
          <w:rtl w:val="0"/>
        </w:rPr>
        <w:t xml:space="preserve">Para mayor información estamos a tu disposición en nuestra Banca por Teléfono al (01) 595-1200. Las tasas y tarifas de todos nuestros productos se encuentran publicadas en las oficinas del Banco y en www.bbva.pe</w:t>
      </w:r>
    </w:p>
    <w:p w:rsidR="00000000" w:rsidDel="00000000" w:rsidP="00000000" w:rsidRDefault="00000000" w:rsidRPr="00000000" w14:paraId="00000018">
      <w:pPr>
        <w:jc w:val="both"/>
        <w:rPr>
          <w:color w:val="666666"/>
          <w:sz w:val="17"/>
          <w:szCs w:val="17"/>
          <w:highlight w:val="white"/>
        </w:rPr>
      </w:pPr>
      <w:r w:rsidDel="00000000" w:rsidR="00000000" w:rsidRPr="00000000">
        <w:rPr>
          <w:rtl w:val="0"/>
        </w:rPr>
      </w:r>
    </w:p>
    <w:p w:rsidR="00000000" w:rsidDel="00000000" w:rsidP="00000000" w:rsidRDefault="00000000" w:rsidRPr="00000000" w14:paraId="00000019">
      <w:pPr>
        <w:jc w:val="both"/>
        <w:rPr>
          <w:b w:val="1"/>
          <w:bCs w:val="1"/>
          <w:color w:val="666666"/>
          <w:sz w:val="17"/>
          <w:szCs w:val="17"/>
          <w:highlight w:val="white"/>
        </w:rPr>
      </w:pPr>
      <w:r w:rsidDel="00000000" w:rsidR="00000000" w:rsidRPr="00000000">
        <w:rPr>
          <w:b w:val="1"/>
          <w:bCs w:val="1"/>
          <w:color w:val="666666"/>
          <w:sz w:val="17"/>
          <w:szCs w:val="17"/>
          <w:highlight w:val="white"/>
          <w:rtl w:val="0"/>
        </w:rPr>
        <w:t xml:space="preserve">(**) Sobre la comisión preferencial del POS Openpay</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bCs w:val="1"/>
          <w:color w:val="666666"/>
          <w:sz w:val="17"/>
          <w:szCs w:val="17"/>
          <w:highlight w:val="white"/>
        </w:rPr>
      </w:pPr>
      <w:r w:rsidDel="00000000" w:rsidR="00000000" w:rsidRPr="00000000">
        <w:rPr>
          <w:b w:val="1"/>
          <w:bCs w:val="1"/>
          <w:color w:val="666666"/>
          <w:sz w:val="17"/>
          <w:szCs w:val="17"/>
          <w:highlight w:val="white"/>
          <w:rtl w:val="0"/>
        </w:rPr>
        <w:t xml:space="preserve">Requisitos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color w:val="666666"/>
          <w:sz w:val="17"/>
          <w:szCs w:val="17"/>
          <w:highlight w:val="white"/>
        </w:rPr>
      </w:pPr>
      <w:r w:rsidDel="00000000" w:rsidR="00000000" w:rsidRPr="00000000">
        <w:rPr>
          <w:color w:val="666666"/>
          <w:sz w:val="17"/>
          <w:szCs w:val="17"/>
          <w:highlight w:val="white"/>
          <w:rtl w:val="0"/>
        </w:rPr>
        <w:t xml:space="preserve">● Ser cliente BBVA Persona Natural con Negocio o Persona Jurídica de la Banca Negocios.</w:t>
      </w:r>
    </w:p>
    <w:p w:rsidR="00000000" w:rsidDel="00000000" w:rsidP="00000000" w:rsidRDefault="00000000" w:rsidRPr="00000000" w14:paraId="0000001E">
      <w:pPr>
        <w:jc w:val="both"/>
        <w:rPr>
          <w:color w:val="666666"/>
          <w:sz w:val="17"/>
          <w:szCs w:val="17"/>
          <w:highlight w:val="white"/>
        </w:rPr>
      </w:pPr>
      <w:r w:rsidDel="00000000" w:rsidR="00000000" w:rsidRPr="00000000">
        <w:rPr>
          <w:color w:val="666666"/>
          <w:sz w:val="17"/>
          <w:szCs w:val="17"/>
          <w:highlight w:val="white"/>
          <w:rtl w:val="0"/>
        </w:rPr>
        <w:t xml:space="preserve">● Afiliarse por primera vez a la solución de cobros POS Openpay y asociarlo a una cuenta BBVA en moneda soles durante la vigencia de la campaña.</w:t>
      </w:r>
    </w:p>
    <w:p w:rsidR="00000000" w:rsidDel="00000000" w:rsidP="00000000" w:rsidRDefault="00000000" w:rsidRPr="00000000" w14:paraId="0000001F">
      <w:pPr>
        <w:jc w:val="both"/>
        <w:rPr>
          <w:color w:val="666666"/>
          <w:sz w:val="17"/>
          <w:szCs w:val="17"/>
          <w:highlight w:val="white"/>
        </w:rPr>
      </w:pPr>
      <w:r w:rsidDel="00000000" w:rsidR="00000000" w:rsidRPr="00000000">
        <w:rPr>
          <w:color w:val="666666"/>
          <w:sz w:val="17"/>
          <w:szCs w:val="17"/>
          <w:highlight w:val="white"/>
          <w:rtl w:val="0"/>
        </w:rPr>
        <w:t xml:space="preserve">● Mantener el RUC activo y que su actividad económica principal registrada ante SUNAT coincida con el giro de negocio afiliado al POS Openpay Smart durante la vigencia de la campaña.</w:t>
      </w:r>
    </w:p>
    <w:p w:rsidR="00000000" w:rsidDel="00000000" w:rsidP="00000000" w:rsidRDefault="00000000" w:rsidRPr="00000000" w14:paraId="00000020">
      <w:pPr>
        <w:jc w:val="both"/>
        <w:rPr>
          <w:color w:val="666666"/>
          <w:sz w:val="17"/>
          <w:szCs w:val="17"/>
          <w:highlight w:val="white"/>
        </w:rPr>
      </w:pPr>
      <w:r w:rsidDel="00000000" w:rsidR="00000000" w:rsidRPr="00000000">
        <w:rPr>
          <w:color w:val="666666"/>
          <w:sz w:val="17"/>
          <w:szCs w:val="17"/>
          <w:highlight w:val="white"/>
          <w:rtl w:val="0"/>
        </w:rPr>
        <w:t xml:space="preserve">● Los clientes con RUC 10, RUC 15 y RUC 17 deberán acreditar una antigüedad mínima de 3 meses en el negocio, en el momento de la afiliación, según la información registrada en SUNAT.</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b w:val="1"/>
          <w:bCs w:val="1"/>
          <w:color w:val="666666"/>
          <w:sz w:val="17"/>
          <w:szCs w:val="17"/>
          <w:highlight w:val="white"/>
          <w:u w:val="single"/>
        </w:rPr>
      </w:pPr>
      <w:r w:rsidDel="00000000" w:rsidR="00000000" w:rsidRPr="00000000">
        <w:rPr>
          <w:b w:val="1"/>
          <w:bCs w:val="1"/>
          <w:color w:val="666666"/>
          <w:sz w:val="17"/>
          <w:szCs w:val="17"/>
          <w:highlight w:val="white"/>
          <w:u w:val="single"/>
          <w:rtl w:val="0"/>
        </w:rPr>
        <w:t xml:space="preserve">Términos y condiciones:</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color w:val="666666"/>
          <w:sz w:val="17"/>
          <w:szCs w:val="17"/>
          <w:highlight w:val="white"/>
        </w:rPr>
      </w:pPr>
      <w:r w:rsidDel="00000000" w:rsidR="00000000" w:rsidRPr="00000000">
        <w:rPr>
          <w:color w:val="666666"/>
          <w:sz w:val="17"/>
          <w:szCs w:val="17"/>
          <w:highlight w:val="white"/>
          <w:rtl w:val="0"/>
        </w:rPr>
        <w:t xml:space="preserve">Vigencia de la campaña: Del 01 al 31 de marzo del 2026.</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color w:val="666666"/>
          <w:sz w:val="17"/>
          <w:szCs w:val="17"/>
          <w:highlight w:val="white"/>
        </w:rPr>
      </w:pPr>
      <w:r w:rsidDel="00000000" w:rsidR="00000000" w:rsidRPr="00000000">
        <w:rPr>
          <w:color w:val="666666"/>
          <w:sz w:val="17"/>
          <w:szCs w:val="17"/>
          <w:highlight w:val="white"/>
          <w:rtl w:val="0"/>
        </w:rPr>
        <w:t xml:space="preserve">Campaña exclusiva para clientes de la Banca Negocios BBVA que durante la vigencia de la campaña se afilien por primera vez (RUC nuevo) al POS Openpay, obtendrá una comisión preferencial, la cual se le detalla al momento de la afiliación, por los 3 primeros meses, siempre que pertenezca y se afilie en el rubro indicado. Luego de la aplicación de la comisión por los 3 meses, a partir del 01 de junio del 2026, se aplicará comisión según contrato vigente del cliente.</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color w:val="666666"/>
          <w:sz w:val="17"/>
          <w:szCs w:val="17"/>
          <w:highlight w:val="white"/>
        </w:rPr>
      </w:pPr>
      <w:r w:rsidDel="00000000" w:rsidR="00000000" w:rsidRPr="00000000">
        <w:rPr>
          <w:color w:val="666666"/>
          <w:sz w:val="17"/>
          <w:szCs w:val="17"/>
          <w:highlight w:val="white"/>
          <w:rtl w:val="0"/>
        </w:rPr>
        <w:t xml:space="preserve">Para el POS Openpay agregador: la comisión especial sólo aplica para los cobros con tarjetas de débito y crédito local de las marcas Visa, Mastercard en moneda soles. Todas las tarifas cobran IGV por transacción de venta exitosa. En el caso de pagos con QR a través de billeteras considerar la comisión de tarjeta de débito.</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color w:val="666666"/>
          <w:sz w:val="17"/>
          <w:szCs w:val="17"/>
          <w:highlight w:val="white"/>
        </w:rPr>
      </w:pPr>
      <w:r w:rsidDel="00000000" w:rsidR="00000000" w:rsidRPr="00000000">
        <w:rPr>
          <w:color w:val="666666"/>
          <w:sz w:val="17"/>
          <w:szCs w:val="17"/>
          <w:highlight w:val="white"/>
          <w:rtl w:val="0"/>
        </w:rPr>
        <w:t xml:space="preserve">Para el POS Openpay adquirente: la comisión especial sólo aplica para los cobros con tarjetas débito y crédito local de las marcas Visa y Mastercard donde no se cobra IGV. Para los cobros con QR PLIN BBVA y YAPE considerar la comisión de tarjeta de débito. Sobre transacciones que se realicen con empresas emisoras de tarjetas de crédito, débito y prepago que no pertenecen al sector financiero (Emisores no financieros) aplican IGV.</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color w:val="666666"/>
          <w:sz w:val="17"/>
          <w:szCs w:val="17"/>
          <w:highlight w:val="white"/>
        </w:rPr>
      </w:pPr>
      <w:r w:rsidDel="00000000" w:rsidR="00000000" w:rsidRPr="00000000">
        <w:rPr>
          <w:color w:val="666666"/>
          <w:sz w:val="17"/>
          <w:szCs w:val="17"/>
          <w:highlight w:val="white"/>
          <w:rtl w:val="0"/>
        </w:rPr>
        <w:t xml:space="preserve">En el caso del producto POS Openpay agregador, BBVA actúa como intermediario por lo que no tendrá responsabilidad legal por cualquier daño o perjuicio que pudiera derivarse de la idoneidad de los servicios o productos que ofrece Openpay Peru S.A.</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rPr/>
      </w:pPr>
      <w:r w:rsidDel="00000000" w:rsidR="00000000" w:rsidRPr="00000000">
        <w:rPr>
          <w:color w:val="666666"/>
          <w:sz w:val="17"/>
          <w:szCs w:val="17"/>
          <w:highlight w:val="white"/>
          <w:rtl w:val="0"/>
        </w:rPr>
        <w:t xml:space="preserve">Para más información, contáctanos en nuestra Banca por Teléfono al (01) 595-1200. Las tasas y tarifas de nuestros productos están disponibles en las oficinas del Banco y en </w:t>
      </w:r>
      <w:hyperlink r:id="rId7">
        <w:r w:rsidDel="00000000" w:rsidR="00000000" w:rsidRPr="00000000">
          <w:rPr>
            <w:color w:val="666666"/>
            <w:sz w:val="17"/>
            <w:szCs w:val="17"/>
            <w:highlight w:val="white"/>
            <w:rtl w:val="0"/>
          </w:rPr>
          <w:t xml:space="preserve">bbva.pe</w:t>
        </w:r>
      </w:hyperlink>
      <w:r w:rsidDel="00000000" w:rsidR="00000000" w:rsidRPr="00000000">
        <w:rPr>
          <w:color w:val="666666"/>
          <w:sz w:val="17"/>
          <w:szCs w:val="17"/>
          <w:highlight w:val="white"/>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bva.pe/" TargetMode="External"/><Relationship Id="rId7" Type="http://schemas.openxmlformats.org/officeDocument/2006/relationships/hyperlink" Target="https://www.bbv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