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white"/>
          <w:u w:val="single"/>
          <w:rtl w:val="0"/>
        </w:rPr>
        <w:t xml:space="preserve">Legal  Pequeños Negocios - Abril 2026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bCs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u w:val="single"/>
          <w:rtl w:val="0"/>
        </w:rPr>
        <w:t xml:space="preserve">Requisitos: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 cliente BBVA Persona Natural con Negocio.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Afiliarse a POS BBVA o POS Openpay y asociarlo a una cuenta BBVA en moneda soles durante la vigencia de la campaña.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Realizar y mantener ventas acumuladas mensuales hasta S/20,000 con su POS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BBVA o POS Openpay todos los meses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Mantener el RUC activo y que su actividad económica principal registrada ante SUNAT coincida con el giro de negocio afiliado al Smart POS o Nuevo Smart POS.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Los clientes con RUC 10, RUC 15 y RUC 17 deberán acreditar una antigüedad mínima de 3 meses en el negocio según la información registrada en SUNAT.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La campaña aplica a una base cerrada de clientes, quienes recibieron la presente comunicación.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Términos y condiciones: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color w:val="ff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Vigencia de la campaña: Del 01 al 30 de abril del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cliente que cumple con todos los requisitos descritos de campaña accede a la comisión especial de 2.40% para transacciones exitosas realizadas con Tarjetas Locales de Débito y Crédito de las marcas Visa y Mastercard, de manera permanente siempre y cuando se encuentren dentro de la base y cumpla con los requisitos mencionados anteriormente.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comisión especial finalizará, cuando el cliente facture más de S/.20,000 mensuales  y menos de S/400 soles y se aplicará la tarifa estándar del Contrato de Afiliación de Adquirencia (Tarifa Pizarra vigente) al cierre del mes de realizada la evaluación.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el POS Openpay: La comisión especial sólo aplica para los cobros con tarjetas de débito y crédito local de las marcas Visa, Mastercard en moneda soles. Todas las tarifas cobran IGV por transacción de venta exitosa. En el caso de pagos con QR a través de billeteras considerar la comisión de tarjeta de débito.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el Smart POS (BBVA): La comisión especial sólo aplica para los cobros con tarjetas débito y crédito local de las marcas Visa y Mastercard donde no se cobra IGV.  Para los cobros con QR PLIN BBVA y YAPE considerar la comisión de tarjeta de débito. Sobre transacciones que se realicen con empresas emisoras de tarjetas de crédito, débito y prepago que no pertenecen al sector financiero (Emisores no financieros) aplican IGV.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caso del producto Nuevo POS (Openpay), BBVA actúa como intermediario por lo que no tendrá responsabilidad legal por cualquier daño o perjuicio que pudiera derivarse de la idoneidad de los servicios o productos que ofrece Openpay Peru S.A. </w:t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mayor información estamos a tu disposición en bbva.pe/empresas o en nuestra Banca por Teléfono de adquirencia al (01) 595-0005. Las tasas y tarifas de todos nuestros productos se encuentran publicadas en las oficinas del Banco y en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bbva.pe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bva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BWIilo54AHv02N6LJblKX8BoQ==">CgMxLjA4AHIhMXllNXNhY1BRNnQ1enVucGM2bGdXRFdwYWpvcnZTd3RZ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