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Términos y condiciones</w:t>
      </w:r>
    </w:p>
    <w:p w:rsidR="00000000" w:rsidDel="00000000" w:rsidP="00000000" w:rsidRDefault="00000000" w:rsidRPr="00000000" w14:paraId="00000002">
      <w:pPr>
        <w:widowControl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Vigencia de 2 al 31 de Marzo  2026</w:t>
      </w:r>
    </w:p>
    <w:p w:rsidR="00000000" w:rsidDel="00000000" w:rsidP="00000000" w:rsidRDefault="00000000" w:rsidRPr="00000000" w14:paraId="00000004">
      <w:pPr>
        <w:widowControl w:val="0"/>
        <w:spacing w:line="240" w:lineRule="auto"/>
        <w:rPr>
          <w:rFonts w:ascii="Calibri" w:cs="Calibri" w:eastAsia="Calibri" w:hAnsi="Calibri"/>
          <w:b w:val="1"/>
          <w:bCs w:val="1"/>
          <w:highlight w:val="yellow"/>
        </w:rPr>
      </w:pPr>
      <w:r w:rsidDel="00000000" w:rsidR="00000000" w:rsidRPr="00000000">
        <w:rPr>
          <w:rtl w:val="0"/>
        </w:rPr>
      </w:r>
    </w:p>
    <w:p w:rsidR="00000000" w:rsidDel="00000000" w:rsidP="00000000" w:rsidRDefault="00000000" w:rsidRPr="00000000" w14:paraId="00000005">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Requisitos:</w:t>
      </w:r>
    </w:p>
    <w:p w:rsidR="00000000" w:rsidDel="00000000" w:rsidP="00000000" w:rsidRDefault="00000000" w:rsidRPr="00000000" w14:paraId="00000006">
      <w:pPr>
        <w:widowControl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Ser cliente BBVA  Persona Natural con Negocio o Persona Jurídica de la Banca Negocios.</w:t>
      </w:r>
    </w:p>
    <w:p w:rsidR="00000000" w:rsidDel="00000000" w:rsidP="00000000" w:rsidRDefault="00000000" w:rsidRPr="00000000" w14:paraId="00000007">
      <w:pPr>
        <w:widowControl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Mantener el RUC activo y que su actividad económica principal registrada ante SUNAT coincida con el giro de negocio afiliado al Smart POS o Nuevo Smart POS durante la vigencia de la campaña.</w:t>
      </w:r>
    </w:p>
    <w:p w:rsidR="00000000" w:rsidDel="00000000" w:rsidP="00000000" w:rsidRDefault="00000000" w:rsidRPr="00000000" w14:paraId="00000008">
      <w:pPr>
        <w:widowControl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Los clientes con RUC 10, RUC 15 y RUC 17 deberán acreditar una antigüedad mínima de 3 meses en el negocio, en el momento de la afiliación, según la información registrada en SUNAT.</w:t>
      </w:r>
    </w:p>
    <w:p w:rsidR="00000000" w:rsidDel="00000000" w:rsidP="00000000" w:rsidRDefault="00000000" w:rsidRPr="00000000" w14:paraId="00000009">
      <w:pPr>
        <w:widowControl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Campaña exclusiva para los clientes que han recibido comunicación del BBVA</w:t>
      </w:r>
    </w:p>
    <w:p w:rsidR="00000000" w:rsidDel="00000000" w:rsidP="00000000" w:rsidRDefault="00000000" w:rsidRPr="00000000" w14:paraId="0000000A">
      <w:pPr>
        <w:widowControl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Participan clientes que hayan contratado los siguientes productos siguiendo estos pasos:</w:t>
      </w:r>
    </w:p>
    <w:p w:rsidR="00000000" w:rsidDel="00000000" w:rsidP="00000000" w:rsidRDefault="00000000" w:rsidRPr="00000000" w14:paraId="0000000B">
      <w:pPr>
        <w:widowControl w:val="0"/>
        <w:spacing w:line="240" w:lineRule="auto"/>
        <w:ind w:left="144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Paso 1:</w:t>
      </w:r>
      <w:r w:rsidDel="00000000" w:rsidR="00000000" w:rsidRPr="00000000">
        <w:rPr>
          <w:rFonts w:ascii="Calibri" w:cs="Calibri" w:eastAsia="Calibri" w:hAnsi="Calibri"/>
          <w:rtl w:val="0"/>
        </w:rPr>
        <w:t xml:space="preserve"> Afiliarse por primera vez a la solución de pagos Smart POS (BBVA) o Nuevo POS Openpay y asociarlo a una cuenta BBVA en moneda soles durante la vigencia de la campaña.</w:t>
      </w:r>
      <w:r w:rsidDel="00000000" w:rsidR="00000000" w:rsidRPr="00000000">
        <w:rPr>
          <w:rtl w:val="0"/>
        </w:rPr>
      </w:r>
    </w:p>
    <w:p w:rsidR="00000000" w:rsidDel="00000000" w:rsidP="00000000" w:rsidRDefault="00000000" w:rsidRPr="00000000" w14:paraId="0000000C">
      <w:pPr>
        <w:widowControl w:val="0"/>
        <w:spacing w:line="240" w:lineRule="auto"/>
        <w:ind w:left="1440" w:firstLine="0"/>
        <w:rPr>
          <w:rFonts w:ascii="Calibri" w:cs="Calibri" w:eastAsia="Calibri" w:hAnsi="Calibri"/>
        </w:rPr>
      </w:pPr>
      <w:r w:rsidDel="00000000" w:rsidR="00000000" w:rsidRPr="00000000">
        <w:rPr>
          <w:rFonts w:ascii="Calibri" w:cs="Calibri" w:eastAsia="Calibri" w:hAnsi="Calibri"/>
          <w:b w:val="1"/>
          <w:bCs w:val="1"/>
          <w:rtl w:val="0"/>
        </w:rPr>
        <w:t xml:space="preserve">Paso 2:</w:t>
      </w:r>
      <w:r w:rsidDel="00000000" w:rsidR="00000000" w:rsidRPr="00000000">
        <w:rPr>
          <w:rFonts w:ascii="Calibri" w:cs="Calibri" w:eastAsia="Calibri" w:hAnsi="Calibri"/>
          <w:rtl w:val="0"/>
        </w:rPr>
        <w:t xml:space="preserve"> Asociar la misma cuenta actual BBVA que cliente ya viene manejando para el abono de sus flujos de su POS. No es válido modificar la cuenta de abono actual. En caso se cambie de cuenta y se contrate el crédito, no se podrá realizar los cobros del crédito.</w:t>
      </w:r>
    </w:p>
    <w:p w:rsidR="00000000" w:rsidDel="00000000" w:rsidP="00000000" w:rsidRDefault="00000000" w:rsidRPr="00000000" w14:paraId="0000000D">
      <w:pPr>
        <w:widowControl w:val="0"/>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0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El cliente recibirá los siguientes beneficios:</w:t>
      </w:r>
    </w:p>
    <w:p w:rsidR="00000000" w:rsidDel="00000000" w:rsidP="00000000" w:rsidRDefault="00000000" w:rsidRPr="00000000" w14:paraId="0000000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widowControl w:val="0"/>
        <w:numPr>
          <w:ilvl w:val="0"/>
          <w:numId w:val="1"/>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Beneficio de Anticipo POS:</w:t>
      </w:r>
    </w:p>
    <w:p w:rsidR="00000000" w:rsidDel="00000000" w:rsidP="00000000" w:rsidRDefault="00000000" w:rsidRPr="00000000" w14:paraId="0000001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widowControl w:val="0"/>
        <w:spacing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El crédito se encuentra disponible en el APP BBVA Empresas para Persona Jurídica o en el APP BBVA en el Perfil Mi Negocio para Persona Natural con Negocio.</w:t>
      </w:r>
    </w:p>
    <w:p w:rsidR="00000000" w:rsidDel="00000000" w:rsidP="00000000" w:rsidRDefault="00000000" w:rsidRPr="00000000" w14:paraId="00000013">
      <w:pPr>
        <w:widowControl w:val="0"/>
        <w:spacing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El otorgamiento del crédito Anticipo POS está sujeto a evaluación crediticia, al mantenimiento de las condiciones crediticias que motivaron la preaprobación del mismo, a la suscripción de documentos contractuales y a la presentación de documentación exigida por el Banco. El hecho de afiliarse a un POS Openpay no garantiza el otorgamiento ni el desembolso del crédito, dado que este se encuentra condicionado al cumplimiento de los criterios crediticios y a la aprobación final por parte del Banco.</w:t>
      </w:r>
    </w:p>
    <w:p w:rsidR="00000000" w:rsidDel="00000000" w:rsidP="00000000" w:rsidRDefault="00000000" w:rsidRPr="00000000" w14:paraId="00000014">
      <w:pPr>
        <w:widowControl w:val="0"/>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bCs w:val="1"/>
          <w:rtl w:val="0"/>
        </w:rPr>
        <w:t xml:space="preserve">Beneficio de afiliación Smart POS:</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  </w:t>
      </w:r>
    </w:p>
    <w:p w:rsidR="00000000" w:rsidDel="00000000" w:rsidP="00000000" w:rsidRDefault="00000000" w:rsidRPr="00000000" w14:paraId="00000017">
      <w:pPr>
        <w:jc w:val="both"/>
        <w:rPr>
          <w:rFonts w:ascii="Calibri" w:cs="Calibri" w:eastAsia="Calibri" w:hAnsi="Calibri"/>
        </w:rPr>
      </w:pPr>
      <w:r w:rsidDel="00000000" w:rsidR="00000000" w:rsidRPr="00000000">
        <w:rPr>
          <w:rFonts w:ascii="Calibri" w:cs="Calibri" w:eastAsia="Calibri" w:hAnsi="Calibri"/>
          <w:rtl w:val="0"/>
        </w:rPr>
        <w:t xml:space="preserve">Campaña exclusiva para clientes de la Banca Negocios BBVA que durante la vigencia de la campaña se afilien por primera vez (RUC nuevo) a una solución de pago Smart POS (BBVA) o Nuevo Smart POS (Openpay), </w:t>
      </w:r>
      <w:r w:rsidDel="00000000" w:rsidR="00000000" w:rsidRPr="00000000">
        <w:rPr>
          <w:rFonts w:ascii="Calibri" w:cs="Calibri" w:eastAsia="Calibri" w:hAnsi="Calibri"/>
          <w:b w:val="1"/>
          <w:bCs w:val="1"/>
          <w:rtl w:val="0"/>
        </w:rPr>
        <w:t xml:space="preserve">obtendrá una comisión preferencial por los 3 primeros meses</w:t>
      </w:r>
      <w:r w:rsidDel="00000000" w:rsidR="00000000" w:rsidRPr="00000000">
        <w:rPr>
          <w:rFonts w:ascii="Calibri" w:cs="Calibri" w:eastAsia="Calibri" w:hAnsi="Calibri"/>
          <w:rtl w:val="0"/>
        </w:rPr>
        <w:t xml:space="preserve"> (Desde el 01 de febrero hasta el 30 de abril del 2026) la cual se detalla en la presente comunicación, siempre que pertenezca y se afilie en el rubro indicado. Luego de la aplicación de la comisión por los 3 meses, a partir del 01 de mayo del 2026, se aplicará comisión según contrato vigente del cliente.</w:t>
      </w:r>
    </w:p>
    <w:p w:rsidR="00000000" w:rsidDel="00000000" w:rsidP="00000000" w:rsidRDefault="00000000" w:rsidRPr="00000000" w14:paraId="0000001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rPr>
      </w:pPr>
      <w:r w:rsidDel="00000000" w:rsidR="00000000" w:rsidRPr="00000000">
        <w:rPr>
          <w:rtl w:val="0"/>
        </w:rPr>
      </w:r>
    </w:p>
    <w:tbl>
      <w:tblPr>
        <w:tblStyle w:val="Table1"/>
        <w:tblW w:w="9255.0" w:type="dxa"/>
        <w:jc w:val="left"/>
        <w:tblInd w:w="-2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00"/>
        <w:gridCol w:w="900"/>
        <w:gridCol w:w="4875"/>
        <w:gridCol w:w="960"/>
        <w:gridCol w:w="960"/>
        <w:gridCol w:w="960"/>
        <w:tblGridChange w:id="0">
          <w:tblGrid>
            <w:gridCol w:w="600"/>
            <w:gridCol w:w="900"/>
            <w:gridCol w:w="4875"/>
            <w:gridCol w:w="960"/>
            <w:gridCol w:w="960"/>
            <w:gridCol w:w="960"/>
          </w:tblGrid>
        </w:tblGridChange>
      </w:tblGrid>
      <w:tr>
        <w:trPr>
          <w:cantSplit w:val="0"/>
          <w:trHeight w:val="525" w:hRule="atLeast"/>
          <w:tblHeader w:val="0"/>
        </w:trPr>
        <w:tc>
          <w:tcPr>
            <w:tcBorders>
              <w:top w:color="ffffff" w:space="0" w:sz="5" w:val="single"/>
              <w:left w:color="ffffff" w:space="0" w:sz="5" w:val="single"/>
              <w:bottom w:color="ffffff" w:space="0" w:sz="5" w:val="single"/>
              <w:right w:color="ffffff" w:space="0" w:sz="5" w:val="single"/>
            </w:tcBorders>
            <w:shd w:fill="001391" w:val="clear"/>
            <w:tcMar>
              <w:top w:w="40.0" w:type="dxa"/>
              <w:left w:w="40.0" w:type="dxa"/>
              <w:bottom w:w="40.0" w:type="dxa"/>
              <w:right w:w="40.0" w:type="dxa"/>
            </w:tcMar>
            <w:vAlign w:val="center"/>
          </w:tcPr>
          <w:p w:rsidR="00000000" w:rsidDel="00000000" w:rsidP="00000000" w:rsidRDefault="00000000" w:rsidRPr="00000000" w14:paraId="0000001E">
            <w:pPr>
              <w:widowControl w:val="0"/>
              <w:jc w:val="center"/>
              <w:rPr>
                <w:sz w:val="20"/>
                <w:szCs w:val="20"/>
              </w:rPr>
            </w:pPr>
            <w:r w:rsidDel="00000000" w:rsidR="00000000" w:rsidRPr="00000000">
              <w:rPr>
                <w:rFonts w:ascii="Calibri" w:cs="Calibri" w:eastAsia="Calibri" w:hAnsi="Calibri"/>
                <w:b w:val="1"/>
                <w:bCs w:val="1"/>
                <w:color w:val="ffffff"/>
                <w:sz w:val="16"/>
                <w:szCs w:val="16"/>
                <w:rtl w:val="0"/>
              </w:rPr>
              <w:t xml:space="preserve">N°</w:t>
            </w:r>
            <w:r w:rsidDel="00000000" w:rsidR="00000000" w:rsidRPr="00000000">
              <w:rPr>
                <w:rtl w:val="0"/>
              </w:rPr>
            </w:r>
          </w:p>
        </w:tc>
        <w:tc>
          <w:tcPr>
            <w:tcBorders>
              <w:top w:color="000000" w:space="0" w:sz="0" w:val="nil"/>
              <w:left w:color="000000" w:space="0" w:sz="0" w:val="nil"/>
              <w:bottom w:color="b7b7b7" w:space="0" w:sz="7" w:val="single"/>
              <w:right w:color="ffffff" w:space="0" w:sz="5" w:val="single"/>
            </w:tcBorders>
            <w:shd w:fill="001391" w:val="clear"/>
            <w:tcMar>
              <w:top w:w="40.0" w:type="dxa"/>
              <w:left w:w="40.0" w:type="dxa"/>
              <w:bottom w:w="40.0" w:type="dxa"/>
              <w:right w:w="40.0" w:type="dxa"/>
            </w:tcMar>
            <w:vAlign w:val="center"/>
          </w:tcPr>
          <w:p w:rsidR="00000000" w:rsidDel="00000000" w:rsidP="00000000" w:rsidRDefault="00000000" w:rsidRPr="00000000" w14:paraId="0000001F">
            <w:pPr>
              <w:widowControl w:val="0"/>
              <w:jc w:val="center"/>
              <w:rPr>
                <w:sz w:val="20"/>
                <w:szCs w:val="20"/>
              </w:rPr>
            </w:pPr>
            <w:r w:rsidDel="00000000" w:rsidR="00000000" w:rsidRPr="00000000">
              <w:rPr>
                <w:rFonts w:ascii="Calibri" w:cs="Calibri" w:eastAsia="Calibri" w:hAnsi="Calibri"/>
                <w:b w:val="1"/>
                <w:bCs w:val="1"/>
                <w:color w:val="ffffff"/>
                <w:sz w:val="18"/>
                <w:szCs w:val="18"/>
                <w:rtl w:val="0"/>
              </w:rPr>
              <w:t xml:space="preserve">CÓDIGO MCC</w:t>
            </w:r>
            <w:r w:rsidDel="00000000" w:rsidR="00000000" w:rsidRPr="00000000">
              <w:rPr>
                <w:rtl w:val="0"/>
              </w:rPr>
            </w:r>
          </w:p>
        </w:tc>
        <w:tc>
          <w:tcPr>
            <w:tcBorders>
              <w:top w:color="000000" w:space="0" w:sz="0" w:val="nil"/>
              <w:left w:color="000000" w:space="0" w:sz="0" w:val="nil"/>
              <w:bottom w:color="b7b7b7" w:space="0" w:sz="7" w:val="single"/>
              <w:right w:color="ffffff" w:space="0" w:sz="5" w:val="single"/>
            </w:tcBorders>
            <w:shd w:fill="001391" w:val="clear"/>
            <w:tcMar>
              <w:top w:w="40.0" w:type="dxa"/>
              <w:left w:w="40.0" w:type="dxa"/>
              <w:bottom w:w="40.0" w:type="dxa"/>
              <w:right w:w="40.0" w:type="dxa"/>
            </w:tcMar>
            <w:vAlign w:val="center"/>
          </w:tcPr>
          <w:p w:rsidR="00000000" w:rsidDel="00000000" w:rsidP="00000000" w:rsidRDefault="00000000" w:rsidRPr="00000000" w14:paraId="00000020">
            <w:pPr>
              <w:widowControl w:val="0"/>
              <w:jc w:val="center"/>
              <w:rPr>
                <w:sz w:val="20"/>
                <w:szCs w:val="20"/>
              </w:rPr>
            </w:pPr>
            <w:r w:rsidDel="00000000" w:rsidR="00000000" w:rsidRPr="00000000">
              <w:rPr>
                <w:rFonts w:ascii="Calibri" w:cs="Calibri" w:eastAsia="Calibri" w:hAnsi="Calibri"/>
                <w:b w:val="1"/>
                <w:bCs w:val="1"/>
                <w:color w:val="ffffff"/>
                <w:sz w:val="18"/>
                <w:szCs w:val="18"/>
                <w:rtl w:val="0"/>
              </w:rPr>
              <w:t xml:space="preserve">GIROS DE NEGOCIO EN AFILIACIÓN POS</w:t>
            </w:r>
            <w:r w:rsidDel="00000000" w:rsidR="00000000" w:rsidRPr="00000000">
              <w:rPr>
                <w:rtl w:val="0"/>
              </w:rPr>
            </w:r>
          </w:p>
        </w:tc>
        <w:tc>
          <w:tcPr>
            <w:tcBorders>
              <w:top w:color="000000" w:space="0" w:sz="0" w:val="nil"/>
              <w:left w:color="000000" w:space="0" w:sz="0" w:val="nil"/>
              <w:bottom w:color="b7b7b7" w:space="0" w:sz="7" w:val="single"/>
              <w:right w:color="ffffff" w:space="0" w:sz="5" w:val="single"/>
            </w:tcBorders>
            <w:shd w:fill="001391" w:val="clear"/>
            <w:tcMar>
              <w:top w:w="40.0" w:type="dxa"/>
              <w:left w:w="40.0" w:type="dxa"/>
              <w:bottom w:w="40.0" w:type="dxa"/>
              <w:right w:w="40.0" w:type="dxa"/>
            </w:tcMar>
            <w:vAlign w:val="center"/>
          </w:tcPr>
          <w:p w:rsidR="00000000" w:rsidDel="00000000" w:rsidP="00000000" w:rsidRDefault="00000000" w:rsidRPr="00000000" w14:paraId="00000021">
            <w:pPr>
              <w:widowControl w:val="0"/>
              <w:jc w:val="center"/>
              <w:rPr>
                <w:sz w:val="20"/>
                <w:szCs w:val="20"/>
              </w:rPr>
            </w:pPr>
            <w:r w:rsidDel="00000000" w:rsidR="00000000" w:rsidRPr="00000000">
              <w:rPr>
                <w:rFonts w:ascii="Calibri" w:cs="Calibri" w:eastAsia="Calibri" w:hAnsi="Calibri"/>
                <w:b w:val="1"/>
                <w:bCs w:val="1"/>
                <w:color w:val="ffffff"/>
                <w:sz w:val="18"/>
                <w:szCs w:val="18"/>
                <w:rtl w:val="0"/>
              </w:rPr>
              <w:t xml:space="preserve">TARJETA DÉBITO</w:t>
            </w:r>
            <w:r w:rsidDel="00000000" w:rsidR="00000000" w:rsidRPr="00000000">
              <w:rPr>
                <w:rtl w:val="0"/>
              </w:rPr>
            </w:r>
          </w:p>
        </w:tc>
        <w:tc>
          <w:tcPr>
            <w:tcBorders>
              <w:top w:color="000000" w:space="0" w:sz="0" w:val="nil"/>
              <w:left w:color="000000" w:space="0" w:sz="0" w:val="nil"/>
              <w:bottom w:color="b7b7b7" w:space="0" w:sz="7" w:val="single"/>
              <w:right w:color="ffffff" w:space="0" w:sz="5" w:val="single"/>
            </w:tcBorders>
            <w:shd w:fill="001391" w:val="clear"/>
            <w:tcMar>
              <w:top w:w="40.0" w:type="dxa"/>
              <w:left w:w="40.0" w:type="dxa"/>
              <w:bottom w:w="40.0" w:type="dxa"/>
              <w:right w:w="40.0" w:type="dxa"/>
            </w:tcMar>
            <w:vAlign w:val="center"/>
          </w:tcPr>
          <w:p w:rsidR="00000000" w:rsidDel="00000000" w:rsidP="00000000" w:rsidRDefault="00000000" w:rsidRPr="00000000" w14:paraId="00000022">
            <w:pPr>
              <w:widowControl w:val="0"/>
              <w:jc w:val="center"/>
              <w:rPr>
                <w:sz w:val="20"/>
                <w:szCs w:val="20"/>
              </w:rPr>
            </w:pPr>
            <w:r w:rsidDel="00000000" w:rsidR="00000000" w:rsidRPr="00000000">
              <w:rPr>
                <w:rFonts w:ascii="Calibri" w:cs="Calibri" w:eastAsia="Calibri" w:hAnsi="Calibri"/>
                <w:b w:val="1"/>
                <w:bCs w:val="1"/>
                <w:color w:val="ffffff"/>
                <w:sz w:val="18"/>
                <w:szCs w:val="18"/>
                <w:rtl w:val="0"/>
              </w:rPr>
              <w:t xml:space="preserve">TARJETA CRÉDITO</w:t>
            </w:r>
            <w:r w:rsidDel="00000000" w:rsidR="00000000" w:rsidRPr="00000000">
              <w:rPr>
                <w:rtl w:val="0"/>
              </w:rPr>
            </w:r>
          </w:p>
        </w:tc>
        <w:tc>
          <w:tcPr>
            <w:tcBorders>
              <w:top w:color="000000" w:space="0" w:sz="0" w:val="nil"/>
              <w:left w:color="000000" w:space="0" w:sz="0" w:val="nil"/>
              <w:bottom w:color="b7b7b7" w:space="0" w:sz="7" w:val="single"/>
              <w:right w:color="ffffff" w:space="0" w:sz="5" w:val="single"/>
            </w:tcBorders>
            <w:shd w:fill="001391" w:val="clear"/>
            <w:tcMar>
              <w:top w:w="40.0" w:type="dxa"/>
              <w:left w:w="40.0" w:type="dxa"/>
              <w:bottom w:w="40.0" w:type="dxa"/>
              <w:right w:w="40.0" w:type="dxa"/>
            </w:tcMar>
            <w:vAlign w:val="center"/>
          </w:tcPr>
          <w:p w:rsidR="00000000" w:rsidDel="00000000" w:rsidP="00000000" w:rsidRDefault="00000000" w:rsidRPr="00000000" w14:paraId="00000023">
            <w:pPr>
              <w:widowControl w:val="0"/>
              <w:jc w:val="center"/>
              <w:rPr>
                <w:sz w:val="20"/>
                <w:szCs w:val="20"/>
              </w:rPr>
            </w:pPr>
            <w:r w:rsidDel="00000000" w:rsidR="00000000" w:rsidRPr="00000000">
              <w:rPr>
                <w:rFonts w:ascii="Calibri" w:cs="Calibri" w:eastAsia="Calibri" w:hAnsi="Calibri"/>
                <w:b w:val="1"/>
                <w:bCs w:val="1"/>
                <w:color w:val="ffffff"/>
                <w:sz w:val="18"/>
                <w:szCs w:val="18"/>
                <w:rtl w:val="0"/>
              </w:rPr>
              <w:t xml:space="preserve">TARJETA FORÁNEA</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24">
            <w:pPr>
              <w:widowControl w:val="0"/>
              <w:jc w:val="center"/>
              <w:rPr>
                <w:sz w:val="20"/>
                <w:szCs w:val="20"/>
              </w:rPr>
            </w:pPr>
            <w:r w:rsidDel="00000000" w:rsidR="00000000" w:rsidRPr="00000000">
              <w:rPr>
                <w:rFonts w:ascii="Calibri" w:cs="Calibri" w:eastAsia="Calibri" w:hAnsi="Calibri"/>
                <w:sz w:val="16"/>
                <w:szCs w:val="16"/>
                <w:rtl w:val="0"/>
              </w:rPr>
              <w:t xml:space="preserve">1</w:t>
            </w:r>
            <w:r w:rsidDel="00000000" w:rsidR="00000000" w:rsidRPr="00000000">
              <w:rPr>
                <w:rtl w:val="0"/>
              </w:rPr>
            </w:r>
          </w:p>
        </w:tc>
        <w:tc>
          <w:tcPr>
            <w:tcBorders>
              <w:top w:color="b7b7b7" w:space="0" w:sz="7" w:val="single"/>
              <w:left w:color="ffffff" w:space="0" w:sz="5" w:val="single"/>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25">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8211</w:t>
            </w:r>
            <w:r w:rsidDel="00000000" w:rsidR="00000000" w:rsidRPr="00000000">
              <w:rPr>
                <w:rtl w:val="0"/>
              </w:rPr>
            </w:r>
          </w:p>
        </w:tc>
        <w:tc>
          <w:tcPr>
            <w:tcBorders>
              <w:top w:color="b7b7b7" w:space="0" w:sz="7" w:val="single"/>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26">
            <w:pPr>
              <w:widowControl w:val="0"/>
              <w:spacing w:line="276" w:lineRule="auto"/>
              <w:rPr>
                <w:sz w:val="20"/>
                <w:szCs w:val="20"/>
              </w:rPr>
            </w:pPr>
            <w:r w:rsidDel="00000000" w:rsidR="00000000" w:rsidRPr="00000000">
              <w:rPr>
                <w:rFonts w:ascii="Calibri" w:cs="Calibri" w:eastAsia="Calibri" w:hAnsi="Calibri"/>
                <w:sz w:val="16"/>
                <w:szCs w:val="16"/>
                <w:rtl w:val="0"/>
              </w:rPr>
              <w:t xml:space="preserve">Escuelas Primarias y Secundarias.</w:t>
            </w:r>
            <w:r w:rsidDel="00000000" w:rsidR="00000000" w:rsidRPr="00000000">
              <w:rPr>
                <w:rtl w:val="0"/>
              </w:rPr>
            </w:r>
          </w:p>
        </w:tc>
        <w:tc>
          <w:tcPr>
            <w:tcBorders>
              <w:top w:color="b7b7b7" w:space="0" w:sz="7" w:val="single"/>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27">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1.60%</w:t>
            </w:r>
            <w:r w:rsidDel="00000000" w:rsidR="00000000" w:rsidRPr="00000000">
              <w:rPr>
                <w:rtl w:val="0"/>
              </w:rPr>
            </w:r>
          </w:p>
        </w:tc>
        <w:tc>
          <w:tcPr>
            <w:tcBorders>
              <w:top w:color="b7b7b7" w:space="0" w:sz="7" w:val="single"/>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28">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1.95%</w:t>
            </w:r>
            <w:r w:rsidDel="00000000" w:rsidR="00000000" w:rsidRPr="00000000">
              <w:rPr>
                <w:rtl w:val="0"/>
              </w:rPr>
            </w:r>
          </w:p>
        </w:tc>
        <w:tc>
          <w:tcPr>
            <w:tcBorders>
              <w:top w:color="b7b7b7" w:space="0" w:sz="7" w:val="single"/>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29">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2A">
            <w:pPr>
              <w:widowControl w:val="0"/>
              <w:jc w:val="center"/>
              <w:rPr>
                <w:sz w:val="20"/>
                <w:szCs w:val="20"/>
              </w:rPr>
            </w:pPr>
            <w:r w:rsidDel="00000000" w:rsidR="00000000" w:rsidRPr="00000000">
              <w:rPr>
                <w:rFonts w:ascii="Calibri" w:cs="Calibri" w:eastAsia="Calibri" w:hAnsi="Calibri"/>
                <w:sz w:val="16"/>
                <w:szCs w:val="16"/>
                <w:rtl w:val="0"/>
              </w:rPr>
              <w:t xml:space="preserve">2</w:t>
            </w:r>
            <w:r w:rsidDel="00000000" w:rsidR="00000000" w:rsidRPr="00000000">
              <w:rPr>
                <w:rtl w:val="0"/>
              </w:rPr>
            </w:r>
          </w:p>
        </w:tc>
        <w:tc>
          <w:tcPr>
            <w:tcBorders>
              <w:top w:color="000000" w:space="0" w:sz="0" w:val="nil"/>
              <w:left w:color="ffffff" w:space="0" w:sz="5" w:val="single"/>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2B">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5722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2C">
            <w:pPr>
              <w:widowControl w:val="0"/>
              <w:spacing w:line="276" w:lineRule="auto"/>
              <w:rPr>
                <w:sz w:val="20"/>
                <w:szCs w:val="20"/>
              </w:rPr>
            </w:pPr>
            <w:r w:rsidDel="00000000" w:rsidR="00000000" w:rsidRPr="00000000">
              <w:rPr>
                <w:rFonts w:ascii="Calibri" w:cs="Calibri" w:eastAsia="Calibri" w:hAnsi="Calibri"/>
                <w:sz w:val="16"/>
                <w:szCs w:val="16"/>
                <w:rtl w:val="0"/>
              </w:rPr>
              <w:t xml:space="preserve">Tiendas de Electrodomésticos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2D">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2E">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2.65%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2F">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30">
            <w:pPr>
              <w:widowControl w:val="0"/>
              <w:jc w:val="center"/>
              <w:rPr>
                <w:sz w:val="20"/>
                <w:szCs w:val="20"/>
              </w:rPr>
            </w:pPr>
            <w:r w:rsidDel="00000000" w:rsidR="00000000" w:rsidRPr="00000000">
              <w:rPr>
                <w:rFonts w:ascii="Calibri" w:cs="Calibri" w:eastAsia="Calibri" w:hAnsi="Calibri"/>
                <w:sz w:val="16"/>
                <w:szCs w:val="16"/>
                <w:rtl w:val="0"/>
              </w:rPr>
              <w:t xml:space="preserve">3</w:t>
            </w:r>
            <w:r w:rsidDel="00000000" w:rsidR="00000000" w:rsidRPr="00000000">
              <w:rPr>
                <w:rtl w:val="0"/>
              </w:rPr>
            </w:r>
          </w:p>
        </w:tc>
        <w:tc>
          <w:tcPr>
            <w:tcBorders>
              <w:top w:color="000000" w:space="0" w:sz="0" w:val="nil"/>
              <w:left w:color="ffffff" w:space="0" w:sz="5" w:val="single"/>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1">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8099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2">
            <w:pPr>
              <w:widowControl w:val="0"/>
              <w:spacing w:line="276" w:lineRule="auto"/>
              <w:rPr>
                <w:sz w:val="20"/>
                <w:szCs w:val="20"/>
              </w:rPr>
            </w:pPr>
            <w:r w:rsidDel="00000000" w:rsidR="00000000" w:rsidRPr="00000000">
              <w:rPr>
                <w:rFonts w:ascii="Calibri" w:cs="Calibri" w:eastAsia="Calibri" w:hAnsi="Calibri"/>
                <w:sz w:val="16"/>
                <w:szCs w:val="16"/>
                <w:rtl w:val="0"/>
              </w:rPr>
              <w:t xml:space="preserve">Servicios Médicos y de Salud, N.C.P.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3">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2.05%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4">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2.60%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5">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36">
            <w:pPr>
              <w:widowControl w:val="0"/>
              <w:jc w:val="center"/>
              <w:rPr>
                <w:sz w:val="20"/>
                <w:szCs w:val="20"/>
              </w:rPr>
            </w:pPr>
            <w:r w:rsidDel="00000000" w:rsidR="00000000" w:rsidRPr="00000000">
              <w:rPr>
                <w:rFonts w:ascii="Calibri" w:cs="Calibri" w:eastAsia="Calibri" w:hAnsi="Calibri"/>
                <w:sz w:val="16"/>
                <w:szCs w:val="16"/>
                <w:rtl w:val="0"/>
              </w:rPr>
              <w:t xml:space="preserve">4</w:t>
            </w:r>
            <w:r w:rsidDel="00000000" w:rsidR="00000000" w:rsidRPr="00000000">
              <w:rPr>
                <w:rtl w:val="0"/>
              </w:rPr>
            </w:r>
          </w:p>
        </w:tc>
        <w:tc>
          <w:tcPr>
            <w:tcBorders>
              <w:top w:color="000000" w:space="0" w:sz="0" w:val="nil"/>
              <w:left w:color="ffffff" w:space="0" w:sz="5" w:val="single"/>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7">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5942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8">
            <w:pPr>
              <w:widowControl w:val="0"/>
              <w:spacing w:line="276" w:lineRule="auto"/>
              <w:rPr>
                <w:sz w:val="20"/>
                <w:szCs w:val="20"/>
              </w:rPr>
            </w:pPr>
            <w:r w:rsidDel="00000000" w:rsidR="00000000" w:rsidRPr="00000000">
              <w:rPr>
                <w:rFonts w:ascii="Calibri" w:cs="Calibri" w:eastAsia="Calibri" w:hAnsi="Calibri"/>
                <w:sz w:val="16"/>
                <w:szCs w:val="16"/>
                <w:rtl w:val="0"/>
              </w:rPr>
              <w:t xml:space="preserve">Librerías.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9">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2.90%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A">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B">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3C">
            <w:pPr>
              <w:widowControl w:val="0"/>
              <w:jc w:val="center"/>
              <w:rPr>
                <w:sz w:val="20"/>
                <w:szCs w:val="20"/>
              </w:rPr>
            </w:pPr>
            <w:r w:rsidDel="00000000" w:rsidR="00000000" w:rsidRPr="00000000">
              <w:rPr>
                <w:rFonts w:ascii="Calibri" w:cs="Calibri" w:eastAsia="Calibri" w:hAnsi="Calibri"/>
                <w:sz w:val="16"/>
                <w:szCs w:val="16"/>
                <w:rtl w:val="0"/>
              </w:rPr>
              <w:t xml:space="preserve">5</w:t>
            </w:r>
            <w:r w:rsidDel="00000000" w:rsidR="00000000" w:rsidRPr="00000000">
              <w:rPr>
                <w:rtl w:val="0"/>
              </w:rPr>
            </w:r>
          </w:p>
        </w:tc>
        <w:tc>
          <w:tcPr>
            <w:tcBorders>
              <w:top w:color="000000" w:space="0" w:sz="0" w:val="nil"/>
              <w:left w:color="ffffff" w:space="0" w:sz="5" w:val="single"/>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5462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E">
            <w:pPr>
              <w:widowControl w:val="0"/>
              <w:spacing w:line="276" w:lineRule="auto"/>
              <w:rPr>
                <w:sz w:val="20"/>
                <w:szCs w:val="20"/>
              </w:rPr>
            </w:pPr>
            <w:r w:rsidDel="00000000" w:rsidR="00000000" w:rsidRPr="00000000">
              <w:rPr>
                <w:rFonts w:ascii="Calibri" w:cs="Calibri" w:eastAsia="Calibri" w:hAnsi="Calibri"/>
                <w:sz w:val="16"/>
                <w:szCs w:val="16"/>
                <w:rtl w:val="0"/>
              </w:rPr>
              <w:t xml:space="preserve">Panaderías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F">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1.80%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0">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2.55%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1">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42">
            <w:pPr>
              <w:widowControl w:val="0"/>
              <w:jc w:val="center"/>
              <w:rPr>
                <w:sz w:val="20"/>
                <w:szCs w:val="20"/>
              </w:rPr>
            </w:pPr>
            <w:r w:rsidDel="00000000" w:rsidR="00000000" w:rsidRPr="00000000">
              <w:rPr>
                <w:rFonts w:ascii="Calibri" w:cs="Calibri" w:eastAsia="Calibri" w:hAnsi="Calibri"/>
                <w:sz w:val="16"/>
                <w:szCs w:val="16"/>
                <w:rtl w:val="0"/>
              </w:rPr>
              <w:t xml:space="preserve">6</w:t>
            </w:r>
            <w:r w:rsidDel="00000000" w:rsidR="00000000" w:rsidRPr="00000000">
              <w:rPr>
                <w:rtl w:val="0"/>
              </w:rPr>
            </w:r>
          </w:p>
        </w:tc>
        <w:tc>
          <w:tcPr>
            <w:tcBorders>
              <w:top w:color="000000" w:space="0" w:sz="0" w:val="nil"/>
              <w:left w:color="ffffff" w:space="0" w:sz="5" w:val="single"/>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3">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5999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4">
            <w:pPr>
              <w:widowControl w:val="0"/>
              <w:spacing w:line="276" w:lineRule="auto"/>
              <w:rPr>
                <w:sz w:val="20"/>
                <w:szCs w:val="20"/>
              </w:rPr>
            </w:pPr>
            <w:r w:rsidDel="00000000" w:rsidR="00000000" w:rsidRPr="00000000">
              <w:rPr>
                <w:rFonts w:ascii="Calibri" w:cs="Calibri" w:eastAsia="Calibri" w:hAnsi="Calibri"/>
                <w:sz w:val="16"/>
                <w:szCs w:val="16"/>
                <w:rtl w:val="0"/>
              </w:rPr>
              <w:t xml:space="preserve">Tiendas Minoristas de Especialidades Misceláneas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5">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2.80%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6">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7">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48">
            <w:pPr>
              <w:widowControl w:val="0"/>
              <w:jc w:val="center"/>
              <w:rPr>
                <w:sz w:val="20"/>
                <w:szCs w:val="20"/>
              </w:rPr>
            </w:pPr>
            <w:r w:rsidDel="00000000" w:rsidR="00000000" w:rsidRPr="00000000">
              <w:rPr>
                <w:rFonts w:ascii="Calibri" w:cs="Calibri" w:eastAsia="Calibri" w:hAnsi="Calibri"/>
                <w:sz w:val="16"/>
                <w:szCs w:val="16"/>
                <w:rtl w:val="0"/>
              </w:rPr>
              <w:t xml:space="preserve">7</w:t>
            </w:r>
            <w:r w:rsidDel="00000000" w:rsidR="00000000" w:rsidRPr="00000000">
              <w:rPr>
                <w:rtl w:val="0"/>
              </w:rPr>
            </w:r>
          </w:p>
        </w:tc>
        <w:tc>
          <w:tcPr>
            <w:tcBorders>
              <w:top w:color="000000" w:space="0" w:sz="0" w:val="nil"/>
              <w:left w:color="ffffff" w:space="0" w:sz="5" w:val="single"/>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9">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7538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A">
            <w:pPr>
              <w:widowControl w:val="0"/>
              <w:spacing w:line="276" w:lineRule="auto"/>
              <w:rPr>
                <w:sz w:val="20"/>
                <w:szCs w:val="20"/>
              </w:rPr>
            </w:pPr>
            <w:r w:rsidDel="00000000" w:rsidR="00000000" w:rsidRPr="00000000">
              <w:rPr>
                <w:rFonts w:ascii="Calibri" w:cs="Calibri" w:eastAsia="Calibri" w:hAnsi="Calibri"/>
                <w:sz w:val="16"/>
                <w:szCs w:val="16"/>
                <w:rtl w:val="0"/>
              </w:rPr>
              <w:t xml:space="preserve">Talleres de Servicio Automotriz (No Concesionario)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B">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1.65%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C">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1.95%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D">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4E">
            <w:pPr>
              <w:widowControl w:val="0"/>
              <w:jc w:val="center"/>
              <w:rPr>
                <w:sz w:val="20"/>
                <w:szCs w:val="20"/>
              </w:rPr>
            </w:pPr>
            <w:r w:rsidDel="00000000" w:rsidR="00000000" w:rsidRPr="00000000">
              <w:rPr>
                <w:rFonts w:ascii="Calibri" w:cs="Calibri" w:eastAsia="Calibri" w:hAnsi="Calibri"/>
                <w:sz w:val="16"/>
                <w:szCs w:val="16"/>
                <w:rtl w:val="0"/>
              </w:rPr>
              <w:t xml:space="preserve">8</w:t>
            </w:r>
            <w:r w:rsidDel="00000000" w:rsidR="00000000" w:rsidRPr="00000000">
              <w:rPr>
                <w:rtl w:val="0"/>
              </w:rPr>
            </w:r>
          </w:p>
        </w:tc>
        <w:tc>
          <w:tcPr>
            <w:tcBorders>
              <w:top w:color="000000" w:space="0" w:sz="0" w:val="nil"/>
              <w:left w:color="ffffff" w:space="0" w:sz="5" w:val="single"/>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F">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8011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0">
            <w:pPr>
              <w:widowControl w:val="0"/>
              <w:spacing w:line="276" w:lineRule="auto"/>
              <w:rPr>
                <w:sz w:val="20"/>
                <w:szCs w:val="20"/>
              </w:rPr>
            </w:pPr>
            <w:r w:rsidDel="00000000" w:rsidR="00000000" w:rsidRPr="00000000">
              <w:rPr>
                <w:rFonts w:ascii="Calibri" w:cs="Calibri" w:eastAsia="Calibri" w:hAnsi="Calibri"/>
                <w:sz w:val="16"/>
                <w:szCs w:val="16"/>
                <w:rtl w:val="0"/>
              </w:rPr>
              <w:t xml:space="preserve">Médicos y Cirujanos.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1">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2.05%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2">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2.60%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3">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54">
            <w:pPr>
              <w:widowControl w:val="0"/>
              <w:jc w:val="center"/>
              <w:rPr>
                <w:sz w:val="20"/>
                <w:szCs w:val="20"/>
              </w:rPr>
            </w:pPr>
            <w:r w:rsidDel="00000000" w:rsidR="00000000" w:rsidRPr="00000000">
              <w:rPr>
                <w:rFonts w:ascii="Calibri" w:cs="Calibri" w:eastAsia="Calibri" w:hAnsi="Calibri"/>
                <w:sz w:val="16"/>
                <w:szCs w:val="16"/>
                <w:rtl w:val="0"/>
              </w:rPr>
              <w:t xml:space="preserve">9</w:t>
            </w:r>
            <w:r w:rsidDel="00000000" w:rsidR="00000000" w:rsidRPr="00000000">
              <w:rPr>
                <w:rtl w:val="0"/>
              </w:rPr>
            </w:r>
          </w:p>
        </w:tc>
        <w:tc>
          <w:tcPr>
            <w:tcBorders>
              <w:top w:color="000000" w:space="0" w:sz="0" w:val="nil"/>
              <w:left w:color="ffffff" w:space="0" w:sz="5" w:val="single"/>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5">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7230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6">
            <w:pPr>
              <w:widowControl w:val="0"/>
              <w:spacing w:line="276" w:lineRule="auto"/>
              <w:rPr>
                <w:sz w:val="20"/>
                <w:szCs w:val="20"/>
              </w:rPr>
            </w:pPr>
            <w:r w:rsidDel="00000000" w:rsidR="00000000" w:rsidRPr="00000000">
              <w:rPr>
                <w:rFonts w:ascii="Calibri" w:cs="Calibri" w:eastAsia="Calibri" w:hAnsi="Calibri"/>
                <w:sz w:val="16"/>
                <w:szCs w:val="16"/>
                <w:rtl w:val="0"/>
              </w:rPr>
              <w:t xml:space="preserve">Peluquerías y Salones de Belleza.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7">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2.90%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8">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9">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5A">
            <w:pPr>
              <w:widowControl w:val="0"/>
              <w:jc w:val="center"/>
              <w:rPr>
                <w:sz w:val="20"/>
                <w:szCs w:val="20"/>
              </w:rPr>
            </w:pPr>
            <w:r w:rsidDel="00000000" w:rsidR="00000000" w:rsidRPr="00000000">
              <w:rPr>
                <w:rFonts w:ascii="Calibri" w:cs="Calibri" w:eastAsia="Calibri" w:hAnsi="Calibri"/>
                <w:sz w:val="16"/>
                <w:szCs w:val="16"/>
                <w:rtl w:val="0"/>
              </w:rPr>
              <w:t xml:space="preserve">10</w:t>
            </w:r>
            <w:r w:rsidDel="00000000" w:rsidR="00000000" w:rsidRPr="00000000">
              <w:rPr>
                <w:rtl w:val="0"/>
              </w:rPr>
            </w:r>
          </w:p>
        </w:tc>
        <w:tc>
          <w:tcPr>
            <w:tcBorders>
              <w:top w:color="000000" w:space="0" w:sz="0" w:val="nil"/>
              <w:left w:color="ffffff" w:space="0" w:sz="5" w:val="single"/>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B">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5039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C">
            <w:pPr>
              <w:widowControl w:val="0"/>
              <w:spacing w:line="276" w:lineRule="auto"/>
              <w:rPr>
                <w:sz w:val="20"/>
                <w:szCs w:val="20"/>
              </w:rPr>
            </w:pPr>
            <w:r w:rsidDel="00000000" w:rsidR="00000000" w:rsidRPr="00000000">
              <w:rPr>
                <w:rFonts w:ascii="Calibri" w:cs="Calibri" w:eastAsia="Calibri" w:hAnsi="Calibri"/>
                <w:sz w:val="16"/>
                <w:szCs w:val="16"/>
                <w:rtl w:val="0"/>
              </w:rPr>
              <w:t xml:space="preserve">Mayoristas de Materiales de Construcción, N.C.P.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D">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1.65%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E">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1.95%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F">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60">
            <w:pPr>
              <w:widowControl w:val="0"/>
              <w:jc w:val="center"/>
              <w:rPr>
                <w:sz w:val="20"/>
                <w:szCs w:val="20"/>
              </w:rPr>
            </w:pPr>
            <w:r w:rsidDel="00000000" w:rsidR="00000000" w:rsidRPr="00000000">
              <w:rPr>
                <w:rFonts w:ascii="Calibri" w:cs="Calibri" w:eastAsia="Calibri" w:hAnsi="Calibri"/>
                <w:sz w:val="16"/>
                <w:szCs w:val="16"/>
                <w:rtl w:val="0"/>
              </w:rPr>
              <w:t xml:space="preserve">11</w:t>
            </w:r>
            <w:r w:rsidDel="00000000" w:rsidR="00000000" w:rsidRPr="00000000">
              <w:rPr>
                <w:rtl w:val="0"/>
              </w:rPr>
            </w:r>
          </w:p>
        </w:tc>
        <w:tc>
          <w:tcPr>
            <w:tcBorders>
              <w:top w:color="000000" w:space="0" w:sz="0" w:val="nil"/>
              <w:left w:color="ffffff" w:space="0" w:sz="5" w:val="single"/>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1">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5099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2">
            <w:pPr>
              <w:widowControl w:val="0"/>
              <w:spacing w:line="276" w:lineRule="auto"/>
              <w:rPr>
                <w:sz w:val="20"/>
                <w:szCs w:val="20"/>
              </w:rPr>
            </w:pPr>
            <w:r w:rsidDel="00000000" w:rsidR="00000000" w:rsidRPr="00000000">
              <w:rPr>
                <w:rFonts w:ascii="Calibri" w:cs="Calibri" w:eastAsia="Calibri" w:hAnsi="Calibri"/>
                <w:sz w:val="16"/>
                <w:szCs w:val="16"/>
                <w:rtl w:val="0"/>
              </w:rPr>
              <w:t xml:space="preserve">Mayoristas de Bienes Duraderos, N.C.P.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3">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1.65%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4">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1.95%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5">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66">
            <w:pPr>
              <w:widowControl w:val="0"/>
              <w:jc w:val="center"/>
              <w:rPr>
                <w:sz w:val="20"/>
                <w:szCs w:val="20"/>
              </w:rPr>
            </w:pPr>
            <w:r w:rsidDel="00000000" w:rsidR="00000000" w:rsidRPr="00000000">
              <w:rPr>
                <w:rFonts w:ascii="Calibri" w:cs="Calibri" w:eastAsia="Calibri" w:hAnsi="Calibri"/>
                <w:sz w:val="16"/>
                <w:szCs w:val="16"/>
                <w:rtl w:val="0"/>
              </w:rPr>
              <w:t xml:space="preserve">12</w:t>
            </w:r>
            <w:r w:rsidDel="00000000" w:rsidR="00000000" w:rsidRPr="00000000">
              <w:rPr>
                <w:rtl w:val="0"/>
              </w:rPr>
            </w:r>
          </w:p>
        </w:tc>
        <w:tc>
          <w:tcPr>
            <w:tcBorders>
              <w:top w:color="000000" w:space="0" w:sz="0" w:val="nil"/>
              <w:left w:color="ffffff" w:space="0" w:sz="5" w:val="single"/>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7">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5533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8">
            <w:pPr>
              <w:widowControl w:val="0"/>
              <w:spacing w:line="276" w:lineRule="auto"/>
              <w:rPr>
                <w:sz w:val="20"/>
                <w:szCs w:val="20"/>
              </w:rPr>
            </w:pPr>
            <w:r w:rsidDel="00000000" w:rsidR="00000000" w:rsidRPr="00000000">
              <w:rPr>
                <w:rFonts w:ascii="Calibri" w:cs="Calibri" w:eastAsia="Calibri" w:hAnsi="Calibri"/>
                <w:sz w:val="16"/>
                <w:szCs w:val="16"/>
                <w:rtl w:val="0"/>
              </w:rPr>
              <w:t xml:space="preserve">Tiendas de Repuestos y Accesorios Automotrices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9">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1.65%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A">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1.95%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B">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6C">
            <w:pPr>
              <w:widowControl w:val="0"/>
              <w:jc w:val="center"/>
              <w:rPr>
                <w:sz w:val="20"/>
                <w:szCs w:val="20"/>
              </w:rPr>
            </w:pPr>
            <w:r w:rsidDel="00000000" w:rsidR="00000000" w:rsidRPr="00000000">
              <w:rPr>
                <w:rFonts w:ascii="Calibri" w:cs="Calibri" w:eastAsia="Calibri" w:hAnsi="Calibri"/>
                <w:sz w:val="16"/>
                <w:szCs w:val="16"/>
                <w:rtl w:val="0"/>
              </w:rPr>
              <w:t xml:space="preserve">13</w:t>
            </w:r>
            <w:r w:rsidDel="00000000" w:rsidR="00000000" w:rsidRPr="00000000">
              <w:rPr>
                <w:rtl w:val="0"/>
              </w:rPr>
            </w:r>
          </w:p>
        </w:tc>
        <w:tc>
          <w:tcPr>
            <w:tcBorders>
              <w:top w:color="000000" w:space="0" w:sz="0" w:val="nil"/>
              <w:left w:color="ffffff" w:space="0" w:sz="5" w:val="single"/>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D">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5499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E">
            <w:pPr>
              <w:widowControl w:val="0"/>
              <w:spacing w:line="276" w:lineRule="auto"/>
              <w:rPr>
                <w:sz w:val="20"/>
                <w:szCs w:val="20"/>
              </w:rPr>
            </w:pPr>
            <w:r w:rsidDel="00000000" w:rsidR="00000000" w:rsidRPr="00000000">
              <w:rPr>
                <w:rFonts w:ascii="Calibri" w:cs="Calibri" w:eastAsia="Calibri" w:hAnsi="Calibri"/>
                <w:sz w:val="16"/>
                <w:szCs w:val="16"/>
                <w:rtl w:val="0"/>
              </w:rPr>
              <w:t xml:space="preserve">Tiendas de Alimentos Diversos (Misceláneas)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F">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1.70%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0">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2.50%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1">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72">
            <w:pPr>
              <w:widowControl w:val="0"/>
              <w:jc w:val="center"/>
              <w:rPr>
                <w:sz w:val="20"/>
                <w:szCs w:val="20"/>
              </w:rPr>
            </w:pPr>
            <w:r w:rsidDel="00000000" w:rsidR="00000000" w:rsidRPr="00000000">
              <w:rPr>
                <w:rFonts w:ascii="Calibri" w:cs="Calibri" w:eastAsia="Calibri" w:hAnsi="Calibri"/>
                <w:sz w:val="16"/>
                <w:szCs w:val="16"/>
                <w:rtl w:val="0"/>
              </w:rPr>
              <w:t xml:space="preserve">14</w:t>
            </w:r>
            <w:r w:rsidDel="00000000" w:rsidR="00000000" w:rsidRPr="00000000">
              <w:rPr>
                <w:rtl w:val="0"/>
              </w:rPr>
            </w:r>
          </w:p>
        </w:tc>
        <w:tc>
          <w:tcPr>
            <w:tcBorders>
              <w:top w:color="000000" w:space="0" w:sz="0" w:val="nil"/>
              <w:left w:color="ffffff" w:space="0" w:sz="5" w:val="single"/>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3">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5411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4">
            <w:pPr>
              <w:widowControl w:val="0"/>
              <w:spacing w:line="276" w:lineRule="auto"/>
              <w:rPr>
                <w:sz w:val="20"/>
                <w:szCs w:val="20"/>
              </w:rPr>
            </w:pPr>
            <w:r w:rsidDel="00000000" w:rsidR="00000000" w:rsidRPr="00000000">
              <w:rPr>
                <w:rFonts w:ascii="Calibri" w:cs="Calibri" w:eastAsia="Calibri" w:hAnsi="Calibri"/>
                <w:sz w:val="16"/>
                <w:szCs w:val="16"/>
                <w:rtl w:val="0"/>
              </w:rPr>
              <w:t xml:space="preserve">Tiendas de Comestibles, Supermercados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5">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1.75%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6">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2.75%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7">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78">
            <w:pPr>
              <w:widowControl w:val="0"/>
              <w:jc w:val="center"/>
              <w:rPr>
                <w:sz w:val="20"/>
                <w:szCs w:val="20"/>
              </w:rPr>
            </w:pPr>
            <w:r w:rsidDel="00000000" w:rsidR="00000000" w:rsidRPr="00000000">
              <w:rPr>
                <w:rFonts w:ascii="Calibri" w:cs="Calibri" w:eastAsia="Calibri" w:hAnsi="Calibri"/>
                <w:sz w:val="16"/>
                <w:szCs w:val="16"/>
                <w:rtl w:val="0"/>
              </w:rPr>
              <w:t xml:space="preserve">15</w:t>
            </w:r>
            <w:r w:rsidDel="00000000" w:rsidR="00000000" w:rsidRPr="00000000">
              <w:rPr>
                <w:rtl w:val="0"/>
              </w:rPr>
            </w:r>
          </w:p>
        </w:tc>
        <w:tc>
          <w:tcPr>
            <w:tcBorders>
              <w:top w:color="000000" w:space="0" w:sz="0" w:val="nil"/>
              <w:left w:color="ffffff" w:space="0" w:sz="5" w:val="single"/>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9">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5812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A">
            <w:pPr>
              <w:widowControl w:val="0"/>
              <w:spacing w:line="276" w:lineRule="auto"/>
              <w:rPr>
                <w:sz w:val="20"/>
                <w:szCs w:val="20"/>
              </w:rPr>
            </w:pPr>
            <w:r w:rsidDel="00000000" w:rsidR="00000000" w:rsidRPr="00000000">
              <w:rPr>
                <w:rFonts w:ascii="Calibri" w:cs="Calibri" w:eastAsia="Calibri" w:hAnsi="Calibri"/>
                <w:sz w:val="16"/>
                <w:szCs w:val="16"/>
                <w:rtl w:val="0"/>
              </w:rPr>
              <w:t xml:space="preserve">Restaurantes.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B">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C">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D">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7E">
            <w:pPr>
              <w:widowControl w:val="0"/>
              <w:jc w:val="center"/>
              <w:rPr>
                <w:sz w:val="20"/>
                <w:szCs w:val="20"/>
              </w:rPr>
            </w:pPr>
            <w:r w:rsidDel="00000000" w:rsidR="00000000" w:rsidRPr="00000000">
              <w:rPr>
                <w:rFonts w:ascii="Calibri" w:cs="Calibri" w:eastAsia="Calibri" w:hAnsi="Calibri"/>
                <w:sz w:val="16"/>
                <w:szCs w:val="16"/>
                <w:rtl w:val="0"/>
              </w:rPr>
              <w:t xml:space="preserve">16</w:t>
            </w:r>
            <w:r w:rsidDel="00000000" w:rsidR="00000000" w:rsidRPr="00000000">
              <w:rPr>
                <w:rtl w:val="0"/>
              </w:rPr>
            </w:r>
          </w:p>
        </w:tc>
        <w:tc>
          <w:tcPr>
            <w:tcBorders>
              <w:top w:color="000000" w:space="0" w:sz="0" w:val="nil"/>
              <w:left w:color="ffffff" w:space="0" w:sz="5" w:val="single"/>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7F">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5944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0">
            <w:pPr>
              <w:widowControl w:val="0"/>
              <w:spacing w:line="276" w:lineRule="auto"/>
              <w:rPr>
                <w:sz w:val="20"/>
                <w:szCs w:val="20"/>
              </w:rPr>
            </w:pPr>
            <w:r w:rsidDel="00000000" w:rsidR="00000000" w:rsidRPr="00000000">
              <w:rPr>
                <w:rFonts w:ascii="Calibri" w:cs="Calibri" w:eastAsia="Calibri" w:hAnsi="Calibri"/>
                <w:sz w:val="16"/>
                <w:szCs w:val="16"/>
                <w:rtl w:val="0"/>
              </w:rPr>
              <w:t xml:space="preserve">Joyas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1">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2.90%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2">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3">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84">
            <w:pPr>
              <w:widowControl w:val="0"/>
              <w:jc w:val="center"/>
              <w:rPr>
                <w:sz w:val="20"/>
                <w:szCs w:val="20"/>
              </w:rPr>
            </w:pPr>
            <w:r w:rsidDel="00000000" w:rsidR="00000000" w:rsidRPr="00000000">
              <w:rPr>
                <w:rFonts w:ascii="Calibri" w:cs="Calibri" w:eastAsia="Calibri" w:hAnsi="Calibri"/>
                <w:sz w:val="16"/>
                <w:szCs w:val="16"/>
                <w:rtl w:val="0"/>
              </w:rPr>
              <w:t xml:space="preserve">17</w:t>
            </w:r>
            <w:r w:rsidDel="00000000" w:rsidR="00000000" w:rsidRPr="00000000">
              <w:rPr>
                <w:rtl w:val="0"/>
              </w:rPr>
            </w:r>
          </w:p>
        </w:tc>
        <w:tc>
          <w:tcPr>
            <w:tcBorders>
              <w:top w:color="000000" w:space="0" w:sz="0" w:val="nil"/>
              <w:left w:color="ffffff" w:space="0" w:sz="5" w:val="single"/>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5">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5992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6">
            <w:pPr>
              <w:widowControl w:val="0"/>
              <w:spacing w:line="276" w:lineRule="auto"/>
              <w:rPr>
                <w:sz w:val="20"/>
                <w:szCs w:val="20"/>
              </w:rPr>
            </w:pPr>
            <w:r w:rsidDel="00000000" w:rsidR="00000000" w:rsidRPr="00000000">
              <w:rPr>
                <w:rFonts w:ascii="Calibri" w:cs="Calibri" w:eastAsia="Calibri" w:hAnsi="Calibri"/>
                <w:sz w:val="16"/>
                <w:szCs w:val="16"/>
                <w:rtl w:val="0"/>
              </w:rPr>
              <w:t xml:space="preserve">Florerias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7">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2.90%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8">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9">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8A">
            <w:pPr>
              <w:widowControl w:val="0"/>
              <w:jc w:val="center"/>
              <w:rPr>
                <w:sz w:val="20"/>
                <w:szCs w:val="20"/>
              </w:rPr>
            </w:pPr>
            <w:r w:rsidDel="00000000" w:rsidR="00000000" w:rsidRPr="00000000">
              <w:rPr>
                <w:rFonts w:ascii="Calibri" w:cs="Calibri" w:eastAsia="Calibri" w:hAnsi="Calibri"/>
                <w:sz w:val="16"/>
                <w:szCs w:val="16"/>
                <w:rtl w:val="0"/>
              </w:rPr>
              <w:t xml:space="preserve">18</w:t>
            </w:r>
            <w:r w:rsidDel="00000000" w:rsidR="00000000" w:rsidRPr="00000000">
              <w:rPr>
                <w:rtl w:val="0"/>
              </w:rPr>
            </w:r>
          </w:p>
        </w:tc>
        <w:tc>
          <w:tcPr>
            <w:tcBorders>
              <w:top w:color="000000" w:space="0" w:sz="0" w:val="nil"/>
              <w:left w:color="ffffff" w:space="0" w:sz="5" w:val="single"/>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B">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5977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C">
            <w:pPr>
              <w:widowControl w:val="0"/>
              <w:spacing w:line="276" w:lineRule="auto"/>
              <w:rPr>
                <w:sz w:val="20"/>
                <w:szCs w:val="20"/>
              </w:rPr>
            </w:pPr>
            <w:r w:rsidDel="00000000" w:rsidR="00000000" w:rsidRPr="00000000">
              <w:rPr>
                <w:rFonts w:ascii="Calibri" w:cs="Calibri" w:eastAsia="Calibri" w:hAnsi="Calibri"/>
                <w:sz w:val="16"/>
                <w:szCs w:val="16"/>
                <w:rtl w:val="0"/>
              </w:rPr>
              <w:t xml:space="preserve">Tiendas de comesticos y perfumerias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D">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2.90%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E">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F">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90">
            <w:pPr>
              <w:widowControl w:val="0"/>
              <w:jc w:val="center"/>
              <w:rPr>
                <w:sz w:val="20"/>
                <w:szCs w:val="20"/>
              </w:rPr>
            </w:pPr>
            <w:r w:rsidDel="00000000" w:rsidR="00000000" w:rsidRPr="00000000">
              <w:rPr>
                <w:rFonts w:ascii="Calibri" w:cs="Calibri" w:eastAsia="Calibri" w:hAnsi="Calibri"/>
                <w:sz w:val="16"/>
                <w:szCs w:val="16"/>
                <w:rtl w:val="0"/>
              </w:rPr>
              <w:t xml:space="preserve">19</w:t>
            </w:r>
            <w:r w:rsidDel="00000000" w:rsidR="00000000" w:rsidRPr="00000000">
              <w:rPr>
                <w:rtl w:val="0"/>
              </w:rPr>
            </w:r>
          </w:p>
        </w:tc>
        <w:tc>
          <w:tcPr>
            <w:tcBorders>
              <w:top w:color="000000" w:space="0" w:sz="0" w:val="nil"/>
              <w:left w:color="ffffff" w:space="0" w:sz="5" w:val="single"/>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1">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0742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2">
            <w:pPr>
              <w:widowControl w:val="0"/>
              <w:spacing w:line="276" w:lineRule="auto"/>
              <w:rPr>
                <w:sz w:val="20"/>
                <w:szCs w:val="20"/>
              </w:rPr>
            </w:pPr>
            <w:r w:rsidDel="00000000" w:rsidR="00000000" w:rsidRPr="00000000">
              <w:rPr>
                <w:rFonts w:ascii="Calibri" w:cs="Calibri" w:eastAsia="Calibri" w:hAnsi="Calibri"/>
                <w:sz w:val="16"/>
                <w:szCs w:val="16"/>
                <w:rtl w:val="0"/>
              </w:rPr>
              <w:t xml:space="preserve">Servicios Veterinarios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3">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2.95%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4">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5">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bl>
    <w:p w:rsidR="00000000" w:rsidDel="00000000" w:rsidP="00000000" w:rsidRDefault="00000000" w:rsidRPr="00000000" w14:paraId="0000009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7">
      <w:pPr>
        <w:jc w:val="both"/>
        <w:rPr>
          <w:rFonts w:ascii="Calibri" w:cs="Calibri" w:eastAsia="Calibri" w:hAnsi="Calibri"/>
        </w:rPr>
      </w:pPr>
      <w:r w:rsidDel="00000000" w:rsidR="00000000" w:rsidRPr="00000000">
        <w:rPr>
          <w:rFonts w:ascii="Calibri" w:cs="Calibri" w:eastAsia="Calibri" w:hAnsi="Calibri"/>
          <w:rtl w:val="0"/>
        </w:rPr>
        <w:t xml:space="preserve">Para el Nuevo POS Openpay: La comisión especial sólo aplica para los cobros con tarjetas de débito y crédito local de las marcas Visa, Mastercard en moneda soles. Todas las tarifas cobran IGV por transacción de venta exitosa. En el caso de pagos con QR a través de billeteras considerar la comisión de tarjeta de débito.</w:t>
      </w:r>
    </w:p>
    <w:p w:rsidR="00000000" w:rsidDel="00000000" w:rsidP="00000000" w:rsidRDefault="00000000" w:rsidRPr="00000000" w14:paraId="0000009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9">
      <w:pPr>
        <w:jc w:val="both"/>
        <w:rPr>
          <w:rFonts w:ascii="Calibri" w:cs="Calibri" w:eastAsia="Calibri" w:hAnsi="Calibri"/>
        </w:rPr>
      </w:pPr>
      <w:r w:rsidDel="00000000" w:rsidR="00000000" w:rsidRPr="00000000">
        <w:rPr>
          <w:rFonts w:ascii="Calibri" w:cs="Calibri" w:eastAsia="Calibri" w:hAnsi="Calibri"/>
          <w:rtl w:val="0"/>
        </w:rPr>
        <w:t xml:space="preserve">Para el Smart POS (BBVA): La comisión especial sólo aplica para los cobros con tarjetas débito y crédito local de las marcas Visa y Mastercard donde no se cobra IGV.  Para los cobros con QR PLIN BBVA y YAPE considerar la comisión de tarjeta de débito. Sobre transacciones que se realicen con empresas emisoras de tarjetas de crédito, débito y prepago que no pertenecen al sector financiero (Emisores no financieros) aplican IGV.</w:t>
      </w:r>
    </w:p>
    <w:p w:rsidR="00000000" w:rsidDel="00000000" w:rsidP="00000000" w:rsidRDefault="00000000" w:rsidRPr="00000000" w14:paraId="0000009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B">
      <w:pPr>
        <w:jc w:val="both"/>
        <w:rPr>
          <w:rFonts w:ascii="Calibri" w:cs="Calibri" w:eastAsia="Calibri" w:hAnsi="Calibri"/>
        </w:rPr>
      </w:pPr>
      <w:r w:rsidDel="00000000" w:rsidR="00000000" w:rsidRPr="00000000">
        <w:rPr>
          <w:rFonts w:ascii="Calibri" w:cs="Calibri" w:eastAsia="Calibri" w:hAnsi="Calibri"/>
          <w:rtl w:val="0"/>
        </w:rPr>
        <w:t xml:space="preserve">En el caso del producto Nuevo POS Openpay, BBVA actúa como intermediario por lo que no tendrá responsabilidad legal por cualquier daño o perjuicio que pudiera derivarse de la idoneidad de los servicios o productos que ofrece Openpay Peru S.A. </w:t>
      </w:r>
    </w:p>
    <w:p w:rsidR="00000000" w:rsidDel="00000000" w:rsidP="00000000" w:rsidRDefault="00000000" w:rsidRPr="00000000" w14:paraId="0000009C">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9D">
      <w:pPr>
        <w:widowControl w:val="0"/>
        <w:jc w:val="both"/>
        <w:rPr>
          <w:rFonts w:ascii="Calibri" w:cs="Calibri" w:eastAsia="Calibri" w:hAnsi="Calibri"/>
          <w:b w:val="1"/>
          <w:bCs w:val="1"/>
          <w:u w:val="single"/>
        </w:rPr>
      </w:pPr>
      <w:r w:rsidDel="00000000" w:rsidR="00000000" w:rsidRPr="00000000">
        <w:rPr>
          <w:rFonts w:ascii="Calibri" w:cs="Calibri" w:eastAsia="Calibri" w:hAnsi="Calibri"/>
          <w:rtl w:val="0"/>
        </w:rPr>
        <w:t xml:space="preserve">Para mayor información estamos a tu disposición en bbva.pe/empresas o en nuestra Banca por Teléfono de adquirencia al (01) 595-0005. Las tasas y tarifas de todos nuestros productos se encuentran publicadas en las oficinas del Banco y en bbva.pe.</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highlight w:val="yellow"/>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TumlRDX99PQJWA+cQ6edr99oUw==">CgMxLjA4AHIhMUdMYVBZaldXZE5zeHNxM1JVbndzZzBxQjdFd3ZxaXFY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