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La activación de los beneficios se realizará según la fecha de inscripciones: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Clientes persona jurídica de la banca negocio BBVA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Mantener el RUC activo y que su actividad económica principal registrada ante SUNAT coincida con el giro de negocio afiliado al Smart POS o Nuevo Smart POS durante la vigencia de la campaña.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76" w:lineRule="auto"/>
        <w:ind w:left="720" w:hanging="36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cliente deberá abrir desde 20 nóminas desde BBVA empresas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Campaña exclusiva para los clientes que han recibido comunicación del BBVA</w:t>
      </w:r>
    </w:p>
    <w:p w:rsidR="00000000" w:rsidDel="00000000" w:rsidP="00000000" w:rsidRDefault="00000000" w:rsidRPr="00000000" w14:paraId="00000009">
      <w:pPr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Términos y condiciones: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b w:val="1"/>
          <w:bCs w:val="1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Vigencia: del 1 al 31 de marzo 2026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Los clientes recibirán los siguientes beneficios: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C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omisión especial personalizada (previamente negociada con su ejecutivo), pagos sin intereses (PSI), puntos BBVA, 12 meses de exoneración en comisión de transferencias interbancarias e interplaza y BBVA empresas premiun.</w:t>
      </w:r>
    </w:p>
    <w:p w:rsidR="00000000" w:rsidDel="00000000" w:rsidP="00000000" w:rsidRDefault="00000000" w:rsidRPr="00000000" w14:paraId="00000011">
      <w:pPr>
        <w:spacing w:after="280" w:line="240" w:lineRule="auto"/>
        <w:ind w:left="0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El beneficio de exoneración se dará según los tiempos de afiliación: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before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al 24 de marzo de 2026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: Beneficios activos a partir del 1 de abril de 2026, por 12 meses.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line="276" w:lineRule="auto"/>
        <w:ind w:left="720" w:hanging="360"/>
        <w:jc w:val="both"/>
        <w:rPr>
          <w:color w:val="666666"/>
          <w:sz w:val="16"/>
          <w:szCs w:val="16"/>
        </w:rPr>
      </w:pPr>
      <w:r w:rsidDel="00000000" w:rsidR="00000000" w:rsidRPr="00000000">
        <w:rPr>
          <w:b w:val="1"/>
          <w:bCs w:val="1"/>
          <w:color w:val="666666"/>
          <w:sz w:val="16"/>
          <w:szCs w:val="16"/>
          <w:rtl w:val="0"/>
        </w:rPr>
        <w:t xml:space="preserve">Afiliaciones entre el 25 y el 31 de marzo de 2026:</w:t>
      </w:r>
      <w:r w:rsidDel="00000000" w:rsidR="00000000" w:rsidRPr="00000000">
        <w:rPr>
          <w:color w:val="666666"/>
          <w:sz w:val="16"/>
          <w:szCs w:val="16"/>
          <w:rtl w:val="0"/>
        </w:rPr>
        <w:t xml:space="preserve"> Beneficios activos a partir del 1 de mayo de 2026, por 12 meses.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jc w:val="both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Al término de la vigencia del beneficio, aplicarán las comisiones establecidas en el tarifario vigente según Cartilla de Información de la Cuenta contratada.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cancelación o cierre de la cuenta antes de cumplirse los plazos de  6 o 12 meses (según corresponda a cada beneficio) resultará en la pérdida inmediata de las exoneraciones pendientes asociadas a esta campaña.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BBVA se reserva el derecho de anular la participación o deshabilitar los beneficios de cualquier cliente en caso de detectar indicios de fraude, manipulación o incumplimiento de los Términos y Condiciones. El Banco podrá aplicar las medidas necesarias para garantizar la integridad de la campaña.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www.bbva.pe</w:t>
      </w:r>
    </w:p>
    <w:p w:rsidR="00000000" w:rsidDel="00000000" w:rsidP="00000000" w:rsidRDefault="00000000" w:rsidRPr="00000000" w14:paraId="00000018">
      <w:pPr>
        <w:spacing w:after="280" w:line="24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